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汝州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市民宗局行政执法监督制度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强和规范民族宗教行政执法监督，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防止</w:t>
      </w:r>
      <w:r>
        <w:rPr>
          <w:rFonts w:hint="eastAsia" w:ascii="仿宋_GB2312" w:hAnsi="仿宋_GB2312" w:eastAsia="仿宋_GB2312" w:cs="仿宋_GB2312"/>
          <w:sz w:val="32"/>
          <w:szCs w:val="32"/>
        </w:rPr>
        <w:t>和纠正违法或者不当的行政执法行为，促进依法行攻，结合我局实际，制定本制度。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所称行政执法监督是指局行改执法监督机构（政策法规科）对局属行政执法科室（民族关系监督科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民族科，宗教科)行政执法的监督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局法治政府建设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</w:t>
      </w:r>
      <w:r>
        <w:rPr>
          <w:rFonts w:hint="eastAsia" w:ascii="仿宋_GB2312" w:hAnsi="仿宋_GB2312" w:eastAsia="仿宋_GB2312" w:cs="仿宋_GB2312"/>
          <w:sz w:val="32"/>
          <w:szCs w:val="32"/>
        </w:rPr>
        <w:t>组负责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的组</w:t>
      </w:r>
      <w:r>
        <w:rPr>
          <w:rFonts w:hint="eastAsia" w:ascii="仿宋_GB2312" w:hAnsi="仿宋_GB2312" w:eastAsia="仿宋_GB2312" w:cs="仿宋_GB2312"/>
          <w:sz w:val="32"/>
          <w:szCs w:val="32"/>
        </w:rPr>
        <w:t>织、领导工作，领导小组力公室（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法规科）承担行政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执法监督的具体工作。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行政执法监督机构根据行政执法监督工作的需要，可以邀请法律顾问，专家学者以及第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方机构等参与行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政执法的有关监督活动，提供行政执法监督信息。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行政执法监督人员应当具备下列条件：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在职的行政编制、事业编制且从事行政执法监督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遵究守法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忠于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职守、秉公执法、清正廉洁；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具有正常展行职责的身体条件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熟悉相关法律、法规、规章和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</w:rPr>
        <w:t>南省行政执法监督资格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国家及省规定的其他条件</w:t>
      </w:r>
    </w:p>
    <w:p>
      <w:pPr>
        <w:numPr>
          <w:numId w:val="0"/>
        </w:numPr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第六条行攻执法人员应当具备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下列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在职的行政编制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事业编制且从事行政执法工作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的人员；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遵纪守法、忠于职守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秉公执法、清正廉洁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有正常覆行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熟悉相关法律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和行做执法业务，经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培训、考试合格，取得河南省行政执法资格；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国家及省规定的其他条件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行政执法监督机构承担组织指导局内部行政执法培训工作。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行政执法监督机构对下列事项实施监督、协调：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行政执法发布的规范性文件是否合法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有关法律：法规、规章的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执法主体是否合法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（四）具体行政行为的合法性和适当性；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其他需要监督检查的事项。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行改执法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可以采取专项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及综合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检查、行政执法案卷评查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、个案监督等分式开展行政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监督工作，可以采取抽查、暗访或者委托第三方机构调查、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等方式，对行救执法行为实施监督。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行政执法监督机构组织开展行政执法责任落实情况检查。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机构在监督中发现行政执法行为涉嫌违法或者不当的，应当发出《行政执法监督意见书》。有关行政执法科室应当自收到《行政执法监督意见书》之日起20个工作日内，自行纠正违法或者不当的行政执法行为，同时向行政执法监督机构书面报告纠正情况。有关行政执法科室认为其执法行为并无违法或者不当的，应当自收到《行政执法监督意见书》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0个工作日内，向行政执法监督机构书面说明理由。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行政执法科室逾期未按照《行政执法监督意见书》自行纠正违法或者不当的行政执法行为，又不说明理由的，行政执法监督机构应当向其发出《行政执法监督决定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行政执法科室应当自收到《行政执法监督决定书》之日起10个工作日内，按要求执行行政执法监督决定，同时向行政执法监督机构书面报告执行情况。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行改执法科室对行政执法监督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不服的，可以在收到行做林法监督决定书》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日起5个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</w:rPr>
        <w:t>局法治政府建设领导小组申请复查。复查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行政执法监督决定不停止执行。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行政法监督机构在实施行政执法监督时，可以采取下列方式调查取证：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(一)查阅、复制、调取行政执法案卷或者有关视听资料、电子数据和其他有关材料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(二)询问行政执法科室有关人员、行政管理相对人和其他相关人员，并制作询问笔录；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(三)组织实地调查、勘验，或者进行必要的录音、录像、拍照、抽样等；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委托符合法定条件的社会组织进行鉴定、评估、检测、勘验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组织召开听证会、专家论证会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(六)法律、法规、规章规定的其他方式。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行政执法行为有下列情形之一的，由行政执法监督机构报请局法治政府建设领导小组责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令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注要事实不清、证据不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(二)法律适用错误的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(三)违反法定程序，但是可以补正或者改正的除外；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超越或者滥用用职权的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明显不当的：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(六)依法应当撤销的其他情形。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行政执法行为情下列情形一的，由行政执法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机构报请局法治政府建设领导小组确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行政执法科室不履行或者拖延履行法定职责，责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令履行没有意义的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行政执法行为违法，但不具有可撤销内容的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行政执法行为依法应当撤销，但撤销会造成国家利益或者社会公共利益重大损害的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依法应当确认违法的其他情形。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行政执法行为有下列情形之一的，由行政执法监督机构报请局法治政府建设领导小组确以无效：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没有法定依据作出的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行政执法决定未加盖本行政执法部门有效印章的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行政执法决定不具有可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依法应当确以无效的其他情形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无效的行政执法行为，自始不发生法律效力。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行政执法行为违法或者不当的，由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政执法监督机构责令限期改正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逾期不改的，由行政执法监督机构报请局法治政府建设领导小组对负有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人员按照相关行政纪律给子行政处分。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行政执法人员有下列行为之一的，由行政执法监督机构报请局法治政府建设领导小组同意，提交发证机关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暂扣或者吊销信行政执法证件，应当追求行政责任的，由行政执法机构报请局法治政府建设领导小组依法给予行政处分。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（一）拒不提供执法案卷、试听资料、电子数据，不接受查询和其他调查取证的；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（二）干扰、阻碍行政执法监督活动实施行政执法监督的；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（三）拒绝执行行政执法监督决定的；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（四）定于行政执法监督机构督办、交办及要求自行纠正的事项推诿、拖延办理的；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（五）隐瞒事实真相、出具伪证或者隐匿、毁灭执法证据的；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（六）其他拒绝、阻碍行政执法监督的行为。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本制度自公布之日起施行。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6B8C6B"/>
    <w:multiLevelType w:val="singleLevel"/>
    <w:tmpl w:val="8C6B8C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D75CE6C"/>
    <w:multiLevelType w:val="singleLevel"/>
    <w:tmpl w:val="9D75CE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3C5980F"/>
    <w:multiLevelType w:val="singleLevel"/>
    <w:tmpl w:val="A3C598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35C393A"/>
    <w:multiLevelType w:val="singleLevel"/>
    <w:tmpl w:val="E35C393A"/>
    <w:lvl w:ilvl="0" w:tentative="0">
      <w:start w:val="17"/>
      <w:numFmt w:val="chineseCounting"/>
      <w:suff w:val="space"/>
      <w:lvlText w:val="第%1条"/>
      <w:lvlJc w:val="left"/>
      <w:rPr>
        <w:rFonts w:hint="eastAsia"/>
      </w:rPr>
    </w:lvl>
  </w:abstractNum>
  <w:abstractNum w:abstractNumId="4">
    <w:nsid w:val="FEE263C4"/>
    <w:multiLevelType w:val="singleLevel"/>
    <w:tmpl w:val="FEE263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YjY0NjI3ZDA3MzA3N2JlYzU0Njg4MmJjOTFiNDYifQ=="/>
  </w:docVars>
  <w:rsids>
    <w:rsidRoot w:val="00000000"/>
    <w:rsid w:val="20F01346"/>
    <w:rsid w:val="3FC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2031</Words>
  <Characters>2039</Characters>
  <Lines>0</Lines>
  <Paragraphs>0</Paragraphs>
  <TotalTime>5</TotalTime>
  <ScaleCrop>false</ScaleCrop>
  <LinksUpToDate>false</LinksUpToDate>
  <CharactersWithSpaces>2039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2022-11-30T09:58:44Z</dcterms:created>
  <dc:creator>Administrator</dc:creator>
  <cp:lastModifiedBy>Administrator</cp:lastModifiedBy>
  <dcterms:modified xsi:type="dcterms:W3CDTF">2022-11-30T10:56:52Z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F26E0638D80946119FD59CAD8B8172A3</vt:lpwstr>
  </property>
</Properties>
</file>