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vertAlign w:val="baseline"/>
          <w:lang w:val="en-US" w:eastAsia="zh-CN"/>
        </w:rPr>
      </w:pPr>
      <w:r>
        <w:rPr>
          <w:rFonts w:hint="eastAsia" w:ascii="方正小标宋_GBK" w:hAnsi="方正小标宋_GBK" w:eastAsia="方正小标宋_GBK" w:cs="方正小标宋_GBK"/>
          <w:sz w:val="44"/>
          <w:szCs w:val="44"/>
          <w:lang w:val="en-US" w:eastAsia="zh-CN"/>
        </w:rPr>
        <w:t>汝州市水利局行政相对人违法风险防控清单</w:t>
      </w:r>
    </w:p>
    <w:tbl>
      <w:tblPr>
        <w:tblStyle w:val="5"/>
        <w:tblpPr w:leftFromText="180" w:rightFromText="180" w:vertAnchor="text" w:horzAnchor="page" w:tblpX="1395" w:tblpY="168"/>
        <w:tblOverlap w:val="never"/>
        <w:tblW w:w="145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841"/>
        <w:gridCol w:w="660"/>
        <w:gridCol w:w="900"/>
        <w:gridCol w:w="1918"/>
        <w:gridCol w:w="3222"/>
        <w:gridCol w:w="1831"/>
        <w:gridCol w:w="1099"/>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799" w:type="dxa"/>
            <w:vAlign w:val="center"/>
          </w:tcPr>
          <w:p>
            <w:pPr>
              <w:jc w:val="center"/>
              <w:rPr>
                <w:rFonts w:hint="default"/>
                <w:vertAlign w:val="baseline"/>
                <w:lang w:val="en-US" w:eastAsia="zh-CN"/>
              </w:rPr>
            </w:pPr>
            <w:r>
              <w:rPr>
                <w:rFonts w:hint="eastAsia"/>
                <w:vertAlign w:val="baseline"/>
                <w:lang w:val="en-US" w:eastAsia="zh-CN"/>
              </w:rPr>
              <w:t>序号</w:t>
            </w:r>
          </w:p>
        </w:tc>
        <w:tc>
          <w:tcPr>
            <w:tcW w:w="1841" w:type="dxa"/>
            <w:vAlign w:val="center"/>
          </w:tcPr>
          <w:p>
            <w:pPr>
              <w:jc w:val="center"/>
              <w:rPr>
                <w:rFonts w:hint="default"/>
                <w:vertAlign w:val="baseline"/>
                <w:lang w:val="en-US" w:eastAsia="zh-CN"/>
              </w:rPr>
            </w:pPr>
            <w:r>
              <w:rPr>
                <w:rFonts w:hint="eastAsia"/>
                <w:vertAlign w:val="baseline"/>
                <w:lang w:val="en-US" w:eastAsia="zh-CN"/>
              </w:rPr>
              <w:t>违法风险点</w:t>
            </w:r>
          </w:p>
        </w:tc>
        <w:tc>
          <w:tcPr>
            <w:tcW w:w="660" w:type="dxa"/>
            <w:vAlign w:val="center"/>
          </w:tcPr>
          <w:p>
            <w:pPr>
              <w:jc w:val="center"/>
              <w:rPr>
                <w:rFonts w:hint="default"/>
                <w:vertAlign w:val="baseline"/>
                <w:lang w:val="en-US" w:eastAsia="zh-CN"/>
              </w:rPr>
            </w:pPr>
            <w:r>
              <w:rPr>
                <w:rFonts w:hint="eastAsia"/>
                <w:vertAlign w:val="baseline"/>
                <w:lang w:val="en-US" w:eastAsia="zh-CN"/>
              </w:rPr>
              <w:t>风险等级</w:t>
            </w:r>
          </w:p>
        </w:tc>
        <w:tc>
          <w:tcPr>
            <w:tcW w:w="900" w:type="dxa"/>
            <w:vAlign w:val="center"/>
          </w:tcPr>
          <w:p>
            <w:pPr>
              <w:jc w:val="center"/>
              <w:rPr>
                <w:rFonts w:hint="default"/>
                <w:vertAlign w:val="baseline"/>
                <w:lang w:val="en-US" w:eastAsia="zh-CN"/>
              </w:rPr>
            </w:pPr>
            <w:r>
              <w:rPr>
                <w:rFonts w:hint="eastAsia"/>
                <w:vertAlign w:val="baseline"/>
                <w:lang w:val="en-US" w:eastAsia="zh-CN"/>
              </w:rPr>
              <w:t>行政相对人</w:t>
            </w:r>
          </w:p>
        </w:tc>
        <w:tc>
          <w:tcPr>
            <w:tcW w:w="1918" w:type="dxa"/>
            <w:vAlign w:val="center"/>
          </w:tcPr>
          <w:p>
            <w:pPr>
              <w:jc w:val="center"/>
              <w:rPr>
                <w:rFonts w:hint="default"/>
                <w:vertAlign w:val="baseline"/>
                <w:lang w:val="en-US" w:eastAsia="zh-CN"/>
              </w:rPr>
            </w:pPr>
            <w:r>
              <w:rPr>
                <w:rFonts w:hint="eastAsia"/>
                <w:vertAlign w:val="baseline"/>
                <w:lang w:val="en-US" w:eastAsia="zh-CN"/>
              </w:rPr>
              <w:t>法律依据</w:t>
            </w:r>
          </w:p>
        </w:tc>
        <w:tc>
          <w:tcPr>
            <w:tcW w:w="3222" w:type="dxa"/>
            <w:vAlign w:val="center"/>
          </w:tcPr>
          <w:p>
            <w:pPr>
              <w:jc w:val="center"/>
              <w:rPr>
                <w:rFonts w:hint="default"/>
                <w:vertAlign w:val="baseline"/>
                <w:lang w:val="en-US" w:eastAsia="zh-CN"/>
              </w:rPr>
            </w:pPr>
            <w:r>
              <w:rPr>
                <w:rFonts w:hint="eastAsia"/>
                <w:vertAlign w:val="baseline"/>
                <w:lang w:val="en-US" w:eastAsia="zh-CN"/>
              </w:rPr>
              <w:t>法律后果</w:t>
            </w:r>
          </w:p>
        </w:tc>
        <w:tc>
          <w:tcPr>
            <w:tcW w:w="1831" w:type="dxa"/>
            <w:vAlign w:val="center"/>
          </w:tcPr>
          <w:p>
            <w:pPr>
              <w:jc w:val="center"/>
              <w:rPr>
                <w:rFonts w:hint="default"/>
                <w:vertAlign w:val="baseline"/>
                <w:lang w:val="en-US" w:eastAsia="zh-CN"/>
              </w:rPr>
            </w:pPr>
            <w:r>
              <w:rPr>
                <w:rFonts w:hint="eastAsia"/>
                <w:vertAlign w:val="baseline"/>
                <w:lang w:val="en-US" w:eastAsia="zh-CN"/>
              </w:rPr>
              <w:t>违法行为发生的原因</w:t>
            </w:r>
          </w:p>
        </w:tc>
        <w:tc>
          <w:tcPr>
            <w:tcW w:w="1099" w:type="dxa"/>
            <w:vAlign w:val="center"/>
          </w:tcPr>
          <w:p>
            <w:pPr>
              <w:jc w:val="center"/>
              <w:rPr>
                <w:rFonts w:hint="default"/>
                <w:vertAlign w:val="baseline"/>
                <w:lang w:val="en-US" w:eastAsia="zh-CN"/>
              </w:rPr>
            </w:pPr>
            <w:r>
              <w:rPr>
                <w:rFonts w:hint="eastAsia"/>
                <w:vertAlign w:val="baseline"/>
                <w:lang w:val="en-US" w:eastAsia="zh-CN"/>
              </w:rPr>
              <w:t>责任科室</w:t>
            </w:r>
          </w:p>
        </w:tc>
        <w:tc>
          <w:tcPr>
            <w:tcW w:w="2325" w:type="dxa"/>
            <w:vAlign w:val="center"/>
          </w:tcPr>
          <w:p>
            <w:pPr>
              <w:jc w:val="center"/>
              <w:rPr>
                <w:rFonts w:hint="default"/>
                <w:vertAlign w:val="baseline"/>
                <w:lang w:val="en-US" w:eastAsia="zh-CN"/>
              </w:rPr>
            </w:pPr>
            <w:r>
              <w:rPr>
                <w:rFonts w:hint="eastAsia"/>
                <w:vertAlign w:val="baseline"/>
                <w:lang w:val="en-US" w:eastAsia="zh-CN"/>
              </w:rPr>
              <w:t>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trPr>
        <w:tc>
          <w:tcPr>
            <w:tcW w:w="799" w:type="dxa"/>
            <w:vAlign w:val="center"/>
          </w:tcPr>
          <w:p>
            <w:pPr>
              <w:jc w:val="center"/>
              <w:rPr>
                <w:rFonts w:hint="eastAsia"/>
                <w:color w:val="FF0000"/>
                <w:highlight w:val="none"/>
                <w:vertAlign w:val="baseline"/>
                <w:lang w:val="en-US" w:eastAsia="zh-CN"/>
              </w:rPr>
            </w:pPr>
            <w:r>
              <w:rPr>
                <w:rFonts w:hint="eastAsia"/>
                <w:vertAlign w:val="baseline"/>
                <w:lang w:val="en-US" w:eastAsia="zh-CN"/>
              </w:rPr>
              <w:t>1</w:t>
            </w:r>
          </w:p>
        </w:tc>
        <w:tc>
          <w:tcPr>
            <w:tcW w:w="1841" w:type="dxa"/>
            <w:vAlign w:val="center"/>
          </w:tcPr>
          <w:p>
            <w:pPr>
              <w:jc w:val="left"/>
              <w:rPr>
                <w:rFonts w:hint="default" w:ascii="楷体_GB2312" w:hAnsi="楷体_GB2312" w:eastAsia="楷体_GB2312" w:cs="楷体_GB2312"/>
                <w:bCs/>
                <w:color w:val="auto"/>
                <w:sz w:val="24"/>
                <w:highlight w:val="none"/>
                <w:shd w:val="clear" w:color="auto" w:fill="auto"/>
                <w:lang w:val="en-US" w:eastAsia="zh-CN"/>
              </w:rPr>
            </w:pPr>
            <w:r>
              <w:rPr>
                <w:rFonts w:hint="default" w:ascii="楷体_GB2312" w:hAnsi="楷体_GB2312" w:eastAsia="楷体_GB2312" w:cs="楷体_GB2312"/>
                <w:bCs/>
                <w:color w:val="auto"/>
                <w:sz w:val="24"/>
                <w:highlight w:val="none"/>
                <w:shd w:val="clear" w:color="auto" w:fill="auto"/>
                <w:lang w:val="en-US" w:eastAsia="zh-CN"/>
              </w:rPr>
              <w:t>未经批准或者不按照采砂许可规定的区域、期限和作业方式进行采砂活动的</w:t>
            </w:r>
          </w:p>
        </w:tc>
        <w:tc>
          <w:tcPr>
            <w:tcW w:w="660" w:type="dxa"/>
            <w:vAlign w:val="center"/>
          </w:tcPr>
          <w:p>
            <w:pPr>
              <w:jc w:val="center"/>
              <w:rPr>
                <w:rFonts w:hint="eastAsia"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高</w:t>
            </w:r>
          </w:p>
        </w:tc>
        <w:tc>
          <w:tcPr>
            <w:tcW w:w="900" w:type="dxa"/>
            <w:vAlign w:val="center"/>
          </w:tcPr>
          <w:p>
            <w:pPr>
              <w:jc w:val="left"/>
              <w:rPr>
                <w:rFonts w:hint="eastAsia"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单位、个人</w:t>
            </w:r>
          </w:p>
        </w:tc>
        <w:tc>
          <w:tcPr>
            <w:tcW w:w="1918" w:type="dxa"/>
            <w:vAlign w:val="center"/>
          </w:tcPr>
          <w:p>
            <w:pPr>
              <w:jc w:val="left"/>
              <w:rPr>
                <w:rFonts w:hint="default" w:ascii="楷体_GB2312" w:hAnsi="楷体_GB2312" w:eastAsia="楷体_GB2312" w:cs="楷体_GB2312"/>
                <w:bCs/>
                <w:color w:val="auto"/>
                <w:sz w:val="24"/>
                <w:highlight w:val="none"/>
                <w:shd w:val="clear" w:color="auto" w:fill="auto"/>
                <w:lang w:val="en-US" w:eastAsia="zh-CN"/>
              </w:rPr>
            </w:pPr>
            <w:r>
              <w:rPr>
                <w:rFonts w:hint="default" w:ascii="楷体_GB2312" w:hAnsi="楷体_GB2312" w:eastAsia="楷体_GB2312" w:cs="楷体_GB2312"/>
                <w:bCs/>
                <w:color w:val="auto"/>
                <w:sz w:val="24"/>
                <w:highlight w:val="none"/>
                <w:shd w:val="clear" w:color="auto" w:fill="auto"/>
                <w:lang w:val="en-US" w:eastAsia="zh-CN"/>
              </w:rPr>
              <w:t>《河南省实施</w:t>
            </w:r>
            <w:r>
              <w:rPr>
                <w:rFonts w:hint="eastAsia" w:ascii="楷体_GB2312" w:hAnsi="楷体_GB2312" w:eastAsia="楷体_GB2312" w:cs="楷体_GB2312"/>
                <w:bCs/>
                <w:color w:val="auto"/>
                <w:sz w:val="24"/>
                <w:highlight w:val="none"/>
                <w:shd w:val="clear" w:color="auto" w:fill="auto"/>
                <w:lang w:val="en-US" w:eastAsia="zh-CN"/>
              </w:rPr>
              <w:t>&lt;</w:t>
            </w:r>
            <w:r>
              <w:rPr>
                <w:rFonts w:hint="default" w:ascii="楷体_GB2312" w:hAnsi="楷体_GB2312" w:eastAsia="楷体_GB2312" w:cs="楷体_GB2312"/>
                <w:bCs/>
                <w:color w:val="auto"/>
                <w:sz w:val="24"/>
                <w:highlight w:val="none"/>
                <w:shd w:val="clear" w:color="auto" w:fill="auto"/>
                <w:lang w:val="en-US" w:eastAsia="zh-CN"/>
              </w:rPr>
              <w:t>中华人民共和国水法</w:t>
            </w:r>
            <w:r>
              <w:rPr>
                <w:rFonts w:hint="eastAsia" w:ascii="楷体_GB2312" w:hAnsi="楷体_GB2312" w:eastAsia="楷体_GB2312" w:cs="楷体_GB2312"/>
                <w:bCs/>
                <w:color w:val="auto"/>
                <w:sz w:val="24"/>
                <w:highlight w:val="none"/>
                <w:shd w:val="clear" w:color="auto" w:fill="auto"/>
                <w:lang w:val="en-US" w:eastAsia="zh-CN"/>
              </w:rPr>
              <w:t>&gt;</w:t>
            </w:r>
            <w:r>
              <w:rPr>
                <w:rFonts w:hint="default" w:ascii="楷体_GB2312" w:hAnsi="楷体_GB2312" w:eastAsia="楷体_GB2312" w:cs="楷体_GB2312"/>
                <w:bCs/>
                <w:color w:val="auto"/>
                <w:sz w:val="24"/>
                <w:highlight w:val="none"/>
                <w:shd w:val="clear" w:color="auto" w:fill="auto"/>
                <w:lang w:val="en-US" w:eastAsia="zh-CN"/>
              </w:rPr>
              <w:t>办法》第四十三条</w:t>
            </w:r>
          </w:p>
        </w:tc>
        <w:tc>
          <w:tcPr>
            <w:tcW w:w="3222" w:type="dxa"/>
            <w:vAlign w:val="center"/>
          </w:tcPr>
          <w:p>
            <w:pPr>
              <w:ind w:firstLine="480" w:firstLineChars="200"/>
              <w:jc w:val="both"/>
              <w:rPr>
                <w:rFonts w:hint="default" w:ascii="楷体_GB2312" w:hAnsi="楷体_GB2312" w:eastAsia="楷体_GB2312" w:cs="楷体_GB2312"/>
                <w:bCs/>
                <w:color w:val="auto"/>
                <w:sz w:val="24"/>
                <w:highlight w:val="none"/>
                <w:shd w:val="clear" w:color="auto" w:fill="auto"/>
                <w:lang w:val="en-US" w:eastAsia="zh-CN"/>
              </w:rPr>
            </w:pPr>
            <w:r>
              <w:rPr>
                <w:rFonts w:hint="default" w:ascii="楷体_GB2312" w:hAnsi="楷体_GB2312" w:eastAsia="楷体_GB2312" w:cs="楷体_GB2312"/>
                <w:bCs/>
                <w:color w:val="auto"/>
                <w:sz w:val="24"/>
                <w:highlight w:val="none"/>
                <w:shd w:val="clear" w:color="auto" w:fill="auto"/>
                <w:lang w:val="en-US" w:eastAsia="zh-CN"/>
              </w:rPr>
              <w:t>违反本办法规定，有下列行为之一的，由县级以上人民政府水行政主管部门责令其停止违法行为，限期清除障碍或者采取其他补救措施，并处以一万元以上五万元以下罚款：（六）未经批准或者不按照采砂许可规定的区域、期限和作业方式进行采砂活动的。</w:t>
            </w:r>
          </w:p>
        </w:tc>
        <w:tc>
          <w:tcPr>
            <w:tcW w:w="1831" w:type="dxa"/>
            <w:vAlign w:val="center"/>
          </w:tcPr>
          <w:p>
            <w:pPr>
              <w:jc w:val="left"/>
              <w:rPr>
                <w:rFonts w:hint="eastAsia"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1、行政相对人法治观念淡薄，对相关法律规定不了解。</w:t>
            </w:r>
          </w:p>
          <w:p>
            <w:pPr>
              <w:jc w:val="left"/>
              <w:rPr>
                <w:rFonts w:hint="eastAsia"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2、受经济利益驱动，片面追求效益而无视国家法律，存在侥幸心理。</w:t>
            </w:r>
          </w:p>
        </w:tc>
        <w:tc>
          <w:tcPr>
            <w:tcW w:w="1099" w:type="dxa"/>
            <w:vAlign w:val="center"/>
          </w:tcPr>
          <w:p>
            <w:pPr>
              <w:jc w:val="left"/>
              <w:rPr>
                <w:rFonts w:hint="eastAsia"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河道管理所、水政监察大队</w:t>
            </w:r>
          </w:p>
        </w:tc>
        <w:tc>
          <w:tcPr>
            <w:tcW w:w="2325" w:type="dxa"/>
            <w:vAlign w:val="center"/>
          </w:tcPr>
          <w:p>
            <w:pPr>
              <w:jc w:val="left"/>
              <w:rPr>
                <w:rFonts w:hint="eastAsia"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1、加大法律法规宣传；</w:t>
            </w:r>
          </w:p>
          <w:p>
            <w:pPr>
              <w:jc w:val="left"/>
              <w:rPr>
                <w:rFonts w:hint="default"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2、加强不定期巡查；</w:t>
            </w:r>
          </w:p>
          <w:p>
            <w:pPr>
              <w:jc w:val="left"/>
              <w:rPr>
                <w:rFonts w:hint="default"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3、事前提示提醒；</w:t>
            </w:r>
          </w:p>
          <w:p>
            <w:pPr>
              <w:jc w:val="left"/>
              <w:rPr>
                <w:rFonts w:hint="eastAsia"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4、加大水行政执法力度，严厉打击违法行为。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8" w:hRule="atLeast"/>
        </w:trPr>
        <w:tc>
          <w:tcPr>
            <w:tcW w:w="799" w:type="dxa"/>
            <w:vAlign w:val="center"/>
          </w:tcPr>
          <w:p>
            <w:pPr>
              <w:jc w:val="center"/>
              <w:rPr>
                <w:rFonts w:hint="default"/>
                <w:vertAlign w:val="baseline"/>
                <w:lang w:val="en-US" w:eastAsia="zh-CN"/>
              </w:rPr>
            </w:pPr>
            <w:r>
              <w:rPr>
                <w:rFonts w:hint="eastAsia"/>
                <w:vertAlign w:val="baseline"/>
                <w:lang w:val="en-US" w:eastAsia="zh-CN"/>
              </w:rPr>
              <w:t>2</w:t>
            </w:r>
          </w:p>
        </w:tc>
        <w:tc>
          <w:tcPr>
            <w:tcW w:w="1841" w:type="dxa"/>
            <w:vAlign w:val="center"/>
          </w:tcPr>
          <w:p>
            <w:pPr>
              <w:jc w:val="left"/>
              <w:rPr>
                <w:rFonts w:hint="default" w:ascii="楷体_GB2312" w:hAnsi="楷体_GB2312" w:eastAsia="楷体_GB2312" w:cs="楷体_GB2312"/>
                <w:bCs/>
                <w:color w:val="auto"/>
                <w:sz w:val="24"/>
                <w:highlight w:val="none"/>
                <w:shd w:val="clear" w:color="auto" w:fill="auto"/>
                <w:lang w:val="en-US" w:eastAsia="zh-CN"/>
              </w:rPr>
            </w:pPr>
            <w:r>
              <w:rPr>
                <w:rFonts w:hint="default" w:ascii="楷体_GB2312" w:hAnsi="楷体_GB2312" w:eastAsia="楷体_GB2312" w:cs="楷体_GB2312"/>
                <w:bCs/>
                <w:color w:val="auto"/>
                <w:sz w:val="24"/>
                <w:highlight w:val="none"/>
                <w:shd w:val="clear" w:color="auto" w:fill="auto"/>
                <w:lang w:val="en-US" w:eastAsia="zh-CN"/>
              </w:rPr>
              <w:t>未经批准擅自取水，或者未依照批准的取水许可规定条件取水的</w:t>
            </w:r>
          </w:p>
        </w:tc>
        <w:tc>
          <w:tcPr>
            <w:tcW w:w="660" w:type="dxa"/>
            <w:vAlign w:val="center"/>
          </w:tcPr>
          <w:p>
            <w:pPr>
              <w:jc w:val="center"/>
              <w:rPr>
                <w:rFonts w:hint="default"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高</w:t>
            </w:r>
          </w:p>
        </w:tc>
        <w:tc>
          <w:tcPr>
            <w:tcW w:w="900" w:type="dxa"/>
            <w:vAlign w:val="center"/>
          </w:tcPr>
          <w:p>
            <w:pPr>
              <w:jc w:val="left"/>
              <w:rPr>
                <w:rFonts w:hint="default"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单位、个人</w:t>
            </w:r>
          </w:p>
        </w:tc>
        <w:tc>
          <w:tcPr>
            <w:tcW w:w="1918" w:type="dxa"/>
            <w:vAlign w:val="center"/>
          </w:tcPr>
          <w:p>
            <w:pPr>
              <w:jc w:val="left"/>
              <w:rPr>
                <w:rFonts w:hint="default" w:ascii="楷体_GB2312" w:hAnsi="楷体_GB2312" w:eastAsia="楷体_GB2312" w:cs="楷体_GB2312"/>
                <w:bCs/>
                <w:color w:val="auto"/>
                <w:sz w:val="24"/>
                <w:highlight w:val="none"/>
                <w:shd w:val="clear" w:color="auto" w:fill="auto"/>
                <w:lang w:val="en-US" w:eastAsia="zh-CN"/>
              </w:rPr>
            </w:pPr>
            <w:r>
              <w:rPr>
                <w:rFonts w:hint="default" w:ascii="楷体_GB2312" w:hAnsi="楷体_GB2312" w:eastAsia="楷体_GB2312" w:cs="楷体_GB2312"/>
                <w:bCs/>
                <w:color w:val="auto"/>
                <w:sz w:val="24"/>
                <w:highlight w:val="none"/>
                <w:shd w:val="clear" w:color="auto" w:fill="auto"/>
                <w:lang w:val="en-US" w:eastAsia="zh-CN"/>
              </w:rPr>
              <w:t>《中华人民共和国水法》第六十九条</w:t>
            </w:r>
          </w:p>
        </w:tc>
        <w:tc>
          <w:tcPr>
            <w:tcW w:w="3222" w:type="dxa"/>
            <w:vAlign w:val="center"/>
          </w:tcPr>
          <w:p>
            <w:pPr>
              <w:ind w:firstLine="480" w:firstLineChars="200"/>
              <w:jc w:val="both"/>
              <w:rPr>
                <w:rFonts w:hint="default" w:ascii="楷体_GB2312" w:hAnsi="楷体_GB2312" w:eastAsia="楷体_GB2312" w:cs="楷体_GB2312"/>
                <w:bCs/>
                <w:color w:val="auto"/>
                <w:sz w:val="24"/>
                <w:highlight w:val="none"/>
                <w:shd w:val="clear" w:color="auto" w:fill="auto"/>
                <w:lang w:val="en-US" w:eastAsia="zh-CN"/>
              </w:rPr>
            </w:pPr>
            <w:r>
              <w:rPr>
                <w:rFonts w:hint="default" w:ascii="楷体_GB2312" w:hAnsi="楷体_GB2312" w:eastAsia="楷体_GB2312" w:cs="楷体_GB2312"/>
                <w:bCs/>
                <w:color w:val="auto"/>
                <w:sz w:val="24"/>
                <w:highlight w:val="none"/>
                <w:shd w:val="clear" w:color="auto" w:fill="auto"/>
                <w:lang w:val="en-US" w:eastAsia="zh-CN"/>
              </w:rPr>
              <w:t>有下列行为之一的，由县级以上人民政府水行政主管部门或者流域管理机构依据职权，责令停止违法行为，限期采取补救措施，处二万元以上十万元以下的罚款；情节严重的，吊销其取水许可证：（一）未经批准擅自取水的；（二）未依照批准的取水许可规定条件取水的。</w:t>
            </w:r>
          </w:p>
        </w:tc>
        <w:tc>
          <w:tcPr>
            <w:tcW w:w="1831" w:type="dxa"/>
            <w:vAlign w:val="center"/>
          </w:tcPr>
          <w:p>
            <w:pPr>
              <w:numPr>
                <w:ilvl w:val="0"/>
                <w:numId w:val="1"/>
              </w:numPr>
              <w:jc w:val="left"/>
              <w:rPr>
                <w:rFonts w:hint="eastAsia"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行政相对人法治观念淡薄，对相关法律规定不了解。</w:t>
            </w:r>
          </w:p>
          <w:p>
            <w:pPr>
              <w:numPr>
                <w:ilvl w:val="0"/>
                <w:numId w:val="1"/>
              </w:numPr>
              <w:jc w:val="left"/>
              <w:rPr>
                <w:rFonts w:hint="default"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受经济利益驱动，片面追求效益而无视国家法律，存在侥幸心理。</w:t>
            </w:r>
          </w:p>
        </w:tc>
        <w:tc>
          <w:tcPr>
            <w:tcW w:w="1099" w:type="dxa"/>
            <w:vAlign w:val="center"/>
          </w:tcPr>
          <w:p>
            <w:pPr>
              <w:jc w:val="left"/>
              <w:rPr>
                <w:rFonts w:hint="default"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水资源管理科、市城市用水节水管理办公室</w:t>
            </w:r>
          </w:p>
        </w:tc>
        <w:tc>
          <w:tcPr>
            <w:tcW w:w="2325" w:type="dxa"/>
            <w:vAlign w:val="center"/>
          </w:tcPr>
          <w:p>
            <w:pPr>
              <w:numPr>
                <w:ilvl w:val="0"/>
                <w:numId w:val="2"/>
              </w:numPr>
              <w:jc w:val="left"/>
              <w:rPr>
                <w:rFonts w:hint="eastAsia"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加大法律法规宣传；</w:t>
            </w:r>
          </w:p>
          <w:p>
            <w:pPr>
              <w:numPr>
                <w:ilvl w:val="0"/>
                <w:numId w:val="2"/>
              </w:numPr>
              <w:jc w:val="left"/>
              <w:rPr>
                <w:rFonts w:hint="default"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加强不定期巡查；</w:t>
            </w:r>
          </w:p>
          <w:p>
            <w:pPr>
              <w:numPr>
                <w:ilvl w:val="0"/>
                <w:numId w:val="2"/>
              </w:numPr>
              <w:jc w:val="left"/>
              <w:rPr>
                <w:rFonts w:hint="default" w:ascii="楷体_GB2312" w:hAnsi="楷体_GB2312" w:eastAsia="楷体_GB2312" w:cs="楷体_GB2312"/>
                <w:bCs/>
                <w:color w:val="auto"/>
                <w:sz w:val="24"/>
                <w:highlight w:val="none"/>
                <w:shd w:val="clear" w:color="auto" w:fill="auto"/>
                <w:lang w:val="en-US" w:eastAsia="zh-CN"/>
              </w:rPr>
            </w:pPr>
            <w:bookmarkStart w:id="0" w:name="_GoBack"/>
            <w:bookmarkEnd w:id="0"/>
            <w:r>
              <w:rPr>
                <w:rFonts w:hint="eastAsia" w:ascii="楷体_GB2312" w:hAnsi="楷体_GB2312" w:eastAsia="楷体_GB2312" w:cs="楷体_GB2312"/>
                <w:bCs/>
                <w:color w:val="auto"/>
                <w:sz w:val="24"/>
                <w:highlight w:val="none"/>
                <w:shd w:val="clear" w:color="auto" w:fill="auto"/>
                <w:lang w:val="en-US" w:eastAsia="zh-CN"/>
              </w:rPr>
              <w:t>事前提示提醒；</w:t>
            </w:r>
          </w:p>
          <w:p>
            <w:pPr>
              <w:jc w:val="left"/>
              <w:rPr>
                <w:rFonts w:hint="default"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4、加大水行政执法力度，严厉打击违法行为。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trPr>
        <w:tc>
          <w:tcPr>
            <w:tcW w:w="799" w:type="dxa"/>
            <w:vAlign w:val="center"/>
          </w:tcPr>
          <w:p>
            <w:pPr>
              <w:jc w:val="center"/>
              <w:rPr>
                <w:rFonts w:hint="default"/>
                <w:vertAlign w:val="baseline"/>
                <w:lang w:val="en-US" w:eastAsia="zh-CN"/>
              </w:rPr>
            </w:pPr>
            <w:r>
              <w:rPr>
                <w:rFonts w:hint="eastAsia"/>
                <w:vertAlign w:val="baseline"/>
                <w:lang w:val="en-US" w:eastAsia="zh-CN"/>
              </w:rPr>
              <w:t>3</w:t>
            </w:r>
          </w:p>
        </w:tc>
        <w:tc>
          <w:tcPr>
            <w:tcW w:w="1841" w:type="dxa"/>
            <w:vAlign w:val="center"/>
          </w:tcPr>
          <w:p>
            <w:pPr>
              <w:jc w:val="left"/>
              <w:rPr>
                <w:rFonts w:hint="default" w:ascii="楷体_GB2312" w:hAnsi="楷体_GB2312" w:eastAsia="楷体_GB2312" w:cs="楷体_GB2312"/>
                <w:bCs/>
                <w:color w:val="auto"/>
                <w:sz w:val="24"/>
                <w:highlight w:val="none"/>
                <w:shd w:val="clear" w:color="auto" w:fill="auto"/>
                <w:lang w:val="en-US" w:eastAsia="zh-CN"/>
              </w:rPr>
            </w:pPr>
            <w:r>
              <w:rPr>
                <w:rFonts w:hint="default" w:ascii="楷体_GB2312" w:hAnsi="楷体_GB2312" w:eastAsia="楷体_GB2312" w:cs="楷体_GB2312"/>
                <w:bCs/>
                <w:color w:val="auto"/>
                <w:sz w:val="24"/>
                <w:highlight w:val="none"/>
                <w:shd w:val="clear" w:color="auto" w:fill="auto"/>
                <w:lang w:val="en-US" w:eastAsia="zh-CN"/>
              </w:rPr>
              <w:t>在河道、湖泊管理范围内建设妨碍行洪的建筑物、构筑物</w:t>
            </w:r>
          </w:p>
        </w:tc>
        <w:tc>
          <w:tcPr>
            <w:tcW w:w="660" w:type="dxa"/>
            <w:vAlign w:val="center"/>
          </w:tcPr>
          <w:p>
            <w:pPr>
              <w:jc w:val="center"/>
              <w:rPr>
                <w:rFonts w:hint="default"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中</w:t>
            </w:r>
          </w:p>
        </w:tc>
        <w:tc>
          <w:tcPr>
            <w:tcW w:w="900" w:type="dxa"/>
            <w:vAlign w:val="center"/>
          </w:tcPr>
          <w:p>
            <w:pPr>
              <w:jc w:val="left"/>
              <w:rPr>
                <w:rFonts w:hint="default"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单位、个人</w:t>
            </w:r>
          </w:p>
        </w:tc>
        <w:tc>
          <w:tcPr>
            <w:tcW w:w="1918" w:type="dxa"/>
            <w:vAlign w:val="center"/>
          </w:tcPr>
          <w:p>
            <w:pPr>
              <w:jc w:val="left"/>
              <w:rPr>
                <w:rFonts w:hint="default" w:ascii="楷体_GB2312" w:hAnsi="楷体_GB2312" w:eastAsia="楷体_GB2312" w:cs="楷体_GB2312"/>
                <w:bCs/>
                <w:color w:val="auto"/>
                <w:sz w:val="24"/>
                <w:highlight w:val="none"/>
                <w:shd w:val="clear" w:color="auto" w:fill="auto"/>
                <w:lang w:val="en-US" w:eastAsia="zh-CN"/>
              </w:rPr>
            </w:pPr>
            <w:r>
              <w:rPr>
                <w:rFonts w:hint="default" w:ascii="楷体_GB2312" w:hAnsi="楷体_GB2312" w:eastAsia="楷体_GB2312" w:cs="楷体_GB2312"/>
                <w:bCs/>
                <w:color w:val="auto"/>
                <w:sz w:val="24"/>
                <w:highlight w:val="none"/>
                <w:shd w:val="clear" w:color="auto" w:fill="auto"/>
                <w:lang w:val="en-US" w:eastAsia="zh-CN"/>
              </w:rPr>
              <w:t>《中华人民共和国防洪法》第五十五条</w:t>
            </w:r>
          </w:p>
        </w:tc>
        <w:tc>
          <w:tcPr>
            <w:tcW w:w="3222" w:type="dxa"/>
            <w:vAlign w:val="center"/>
          </w:tcPr>
          <w:p>
            <w:pPr>
              <w:ind w:firstLine="480" w:firstLineChars="200"/>
              <w:jc w:val="both"/>
              <w:rPr>
                <w:rFonts w:hint="default" w:ascii="楷体_GB2312" w:hAnsi="楷体_GB2312" w:eastAsia="楷体_GB2312" w:cs="楷体_GB2312"/>
                <w:bCs/>
                <w:color w:val="auto"/>
                <w:sz w:val="24"/>
                <w:highlight w:val="none"/>
                <w:shd w:val="clear" w:color="auto" w:fill="auto"/>
                <w:lang w:val="en-US" w:eastAsia="zh-CN"/>
              </w:rPr>
            </w:pPr>
            <w:r>
              <w:rPr>
                <w:rFonts w:hint="default" w:ascii="楷体_GB2312" w:hAnsi="楷体_GB2312" w:eastAsia="楷体_GB2312" w:cs="楷体_GB2312"/>
                <w:bCs/>
                <w:color w:val="auto"/>
                <w:sz w:val="24"/>
                <w:highlight w:val="none"/>
                <w:shd w:val="clear" w:color="auto" w:fill="auto"/>
                <w:lang w:val="en-US" w:eastAsia="zh-CN"/>
              </w:rPr>
              <w:t>违反本法第二十二条第二款、第三款规定，有下列行为之一的，责令停止违法行为，排除阻碍或者采取其他补救措施，可以处五万元以下的罚款：（一）在河道、湖泊管理范围内建设妨碍行洪的建筑物、构筑物的；</w:t>
            </w:r>
          </w:p>
        </w:tc>
        <w:tc>
          <w:tcPr>
            <w:tcW w:w="1831" w:type="dxa"/>
            <w:vAlign w:val="center"/>
          </w:tcPr>
          <w:p>
            <w:pPr>
              <w:numPr>
                <w:ilvl w:val="0"/>
                <w:numId w:val="3"/>
              </w:numPr>
              <w:jc w:val="left"/>
              <w:rPr>
                <w:rFonts w:hint="eastAsia"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行政相对人法治观念淡薄，对相关法律规定不了解。</w:t>
            </w:r>
          </w:p>
          <w:p>
            <w:pPr>
              <w:numPr>
                <w:ilvl w:val="0"/>
                <w:numId w:val="3"/>
              </w:numPr>
              <w:jc w:val="left"/>
              <w:rPr>
                <w:rFonts w:hint="default"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受经济利益驱动，片面追求效益而无视国家法律，存在侥幸心理，疏忽大意。</w:t>
            </w:r>
          </w:p>
        </w:tc>
        <w:tc>
          <w:tcPr>
            <w:tcW w:w="1099" w:type="dxa"/>
            <w:vAlign w:val="center"/>
          </w:tcPr>
          <w:p>
            <w:pPr>
              <w:jc w:val="left"/>
              <w:rPr>
                <w:rFonts w:hint="default"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河道管理所、水政监察大队</w:t>
            </w:r>
          </w:p>
        </w:tc>
        <w:tc>
          <w:tcPr>
            <w:tcW w:w="2325" w:type="dxa"/>
            <w:vAlign w:val="center"/>
          </w:tcPr>
          <w:p>
            <w:pPr>
              <w:jc w:val="left"/>
              <w:rPr>
                <w:rFonts w:hint="eastAsia"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1、加大法律法规宣传；</w:t>
            </w:r>
          </w:p>
          <w:p>
            <w:pPr>
              <w:jc w:val="left"/>
              <w:rPr>
                <w:rFonts w:hint="default"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2、加强不定期巡查；</w:t>
            </w:r>
          </w:p>
          <w:p>
            <w:pPr>
              <w:jc w:val="left"/>
              <w:rPr>
                <w:rFonts w:hint="default"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3、事前提示提醒；</w:t>
            </w:r>
          </w:p>
          <w:p>
            <w:pPr>
              <w:jc w:val="left"/>
              <w:rPr>
                <w:rFonts w:hint="default"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4、加大水行政执法力度，严厉打击违法行为。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6" w:hRule="atLeast"/>
        </w:trPr>
        <w:tc>
          <w:tcPr>
            <w:tcW w:w="799" w:type="dxa"/>
            <w:vAlign w:val="center"/>
          </w:tcPr>
          <w:p>
            <w:pPr>
              <w:jc w:val="center"/>
              <w:rPr>
                <w:rFonts w:hint="default"/>
                <w:vertAlign w:val="baseline"/>
                <w:lang w:val="en-US" w:eastAsia="zh-CN"/>
              </w:rPr>
            </w:pPr>
            <w:r>
              <w:rPr>
                <w:rFonts w:hint="eastAsia"/>
                <w:vertAlign w:val="baseline"/>
                <w:lang w:val="en-US" w:eastAsia="zh-CN"/>
              </w:rPr>
              <w:t>4</w:t>
            </w:r>
          </w:p>
        </w:tc>
        <w:tc>
          <w:tcPr>
            <w:tcW w:w="1841" w:type="dxa"/>
            <w:vAlign w:val="center"/>
          </w:tcPr>
          <w:p>
            <w:pPr>
              <w:jc w:val="left"/>
              <w:rPr>
                <w:rFonts w:hint="default"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依法应当编制水土保持方案的生产建设项目，未编制水土保持方案或者编制的水土保持方案未经批准而开工建设的</w:t>
            </w:r>
          </w:p>
        </w:tc>
        <w:tc>
          <w:tcPr>
            <w:tcW w:w="660" w:type="dxa"/>
            <w:vAlign w:val="center"/>
          </w:tcPr>
          <w:p>
            <w:pPr>
              <w:jc w:val="center"/>
              <w:rPr>
                <w:rFonts w:hint="default"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中</w:t>
            </w:r>
          </w:p>
        </w:tc>
        <w:tc>
          <w:tcPr>
            <w:tcW w:w="900" w:type="dxa"/>
            <w:vAlign w:val="center"/>
          </w:tcPr>
          <w:p>
            <w:pPr>
              <w:jc w:val="left"/>
              <w:rPr>
                <w:rFonts w:hint="default"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单位、个人</w:t>
            </w:r>
          </w:p>
        </w:tc>
        <w:tc>
          <w:tcPr>
            <w:tcW w:w="1918" w:type="dxa"/>
            <w:vAlign w:val="center"/>
          </w:tcPr>
          <w:p>
            <w:pPr>
              <w:jc w:val="left"/>
              <w:rPr>
                <w:rFonts w:hint="default" w:ascii="楷体_GB2312" w:hAnsi="楷体_GB2312" w:eastAsia="楷体_GB2312" w:cs="楷体_GB2312"/>
                <w:bCs/>
                <w:color w:val="auto"/>
                <w:sz w:val="24"/>
                <w:highlight w:val="none"/>
                <w:shd w:val="clear" w:color="auto" w:fill="auto"/>
                <w:lang w:val="en-US" w:eastAsia="zh-CN"/>
              </w:rPr>
            </w:pPr>
            <w:r>
              <w:rPr>
                <w:rFonts w:hint="default" w:ascii="楷体_GB2312" w:hAnsi="楷体_GB2312" w:eastAsia="楷体_GB2312" w:cs="楷体_GB2312"/>
                <w:bCs/>
                <w:color w:val="auto"/>
                <w:sz w:val="24"/>
                <w:highlight w:val="none"/>
                <w:shd w:val="clear" w:color="auto" w:fill="auto"/>
                <w:lang w:val="en-US" w:eastAsia="zh-CN"/>
              </w:rPr>
              <w:t>《中华人民共和国水土保持法》第五十三条</w:t>
            </w:r>
          </w:p>
        </w:tc>
        <w:tc>
          <w:tcPr>
            <w:tcW w:w="3222" w:type="dxa"/>
            <w:vAlign w:val="center"/>
          </w:tcPr>
          <w:p>
            <w:pPr>
              <w:ind w:firstLine="480" w:firstLineChars="200"/>
              <w:jc w:val="both"/>
              <w:rPr>
                <w:rFonts w:hint="default" w:ascii="楷体_GB2312" w:hAnsi="楷体_GB2312" w:eastAsia="楷体_GB2312" w:cs="楷体_GB2312"/>
                <w:bCs/>
                <w:color w:val="auto"/>
                <w:sz w:val="24"/>
                <w:highlight w:val="none"/>
                <w:shd w:val="clear" w:color="auto" w:fill="auto"/>
                <w:lang w:val="en-US" w:eastAsia="zh-CN"/>
              </w:rPr>
            </w:pPr>
            <w:r>
              <w:rPr>
                <w:rFonts w:hint="default" w:ascii="楷体_GB2312" w:hAnsi="楷体_GB2312" w:eastAsia="楷体_GB2312" w:cs="楷体_GB2312"/>
                <w:bCs/>
                <w:color w:val="auto"/>
                <w:sz w:val="24"/>
                <w:highlight w:val="none"/>
                <w:shd w:val="clear" w:color="auto" w:fill="auto"/>
                <w:lang w:val="en-US" w:eastAsia="zh-CN"/>
              </w:rPr>
              <w:t>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一）依法应当编制水土保持方案的生产建设项目，未编制水土保持方案或者编制的水土保持方案未经批准而开工建设的。</w:t>
            </w:r>
          </w:p>
        </w:tc>
        <w:tc>
          <w:tcPr>
            <w:tcW w:w="1831" w:type="dxa"/>
            <w:vAlign w:val="center"/>
          </w:tcPr>
          <w:p>
            <w:pPr>
              <w:jc w:val="left"/>
              <w:rPr>
                <w:rFonts w:hint="eastAsia"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1、行政相对人法治观念淡薄，对相关法律规定不了解。</w:t>
            </w:r>
          </w:p>
          <w:p>
            <w:pPr>
              <w:jc w:val="left"/>
              <w:rPr>
                <w:rFonts w:hint="default"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2、受经济利益驱动，片面追求效益而无视国家法律，存在侥幸心理。</w:t>
            </w:r>
          </w:p>
        </w:tc>
        <w:tc>
          <w:tcPr>
            <w:tcW w:w="1099" w:type="dxa"/>
            <w:vAlign w:val="center"/>
          </w:tcPr>
          <w:p>
            <w:pPr>
              <w:jc w:val="left"/>
              <w:rPr>
                <w:rFonts w:hint="default"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水土保持科</w:t>
            </w:r>
          </w:p>
        </w:tc>
        <w:tc>
          <w:tcPr>
            <w:tcW w:w="2325" w:type="dxa"/>
            <w:vAlign w:val="center"/>
          </w:tcPr>
          <w:p>
            <w:pPr>
              <w:jc w:val="left"/>
              <w:rPr>
                <w:rFonts w:hint="eastAsia"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1、加大法律法规宣传；</w:t>
            </w:r>
          </w:p>
          <w:p>
            <w:pPr>
              <w:jc w:val="left"/>
              <w:rPr>
                <w:rFonts w:hint="default"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2、加强不定期巡查；</w:t>
            </w:r>
          </w:p>
          <w:p>
            <w:pPr>
              <w:jc w:val="left"/>
              <w:rPr>
                <w:rFonts w:hint="default"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3、事前提示提醒；</w:t>
            </w:r>
          </w:p>
          <w:p>
            <w:pPr>
              <w:jc w:val="left"/>
              <w:rPr>
                <w:rFonts w:hint="default" w:ascii="楷体_GB2312" w:hAnsi="楷体_GB2312" w:eastAsia="楷体_GB2312" w:cs="楷体_GB2312"/>
                <w:bCs/>
                <w:color w:val="auto"/>
                <w:sz w:val="24"/>
                <w:highlight w:val="none"/>
                <w:shd w:val="clear" w:color="auto" w:fill="auto"/>
                <w:lang w:val="en-US" w:eastAsia="zh-CN"/>
              </w:rPr>
            </w:pPr>
            <w:r>
              <w:rPr>
                <w:rFonts w:hint="eastAsia" w:ascii="楷体_GB2312" w:hAnsi="楷体_GB2312" w:eastAsia="楷体_GB2312" w:cs="楷体_GB2312"/>
                <w:bCs/>
                <w:color w:val="auto"/>
                <w:sz w:val="24"/>
                <w:highlight w:val="none"/>
                <w:shd w:val="clear" w:color="auto" w:fill="auto"/>
                <w:lang w:val="en-US" w:eastAsia="zh-CN"/>
              </w:rPr>
              <w:t>4、加大水行政执法力度，严厉打击违法行为。</w:t>
            </w:r>
          </w:p>
        </w:tc>
      </w:tr>
    </w:tbl>
    <w:p>
      <w:pPr>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6F6E88"/>
    <w:multiLevelType w:val="singleLevel"/>
    <w:tmpl w:val="4D6F6E88"/>
    <w:lvl w:ilvl="0" w:tentative="0">
      <w:start w:val="1"/>
      <w:numFmt w:val="decimal"/>
      <w:suff w:val="nothing"/>
      <w:lvlText w:val="%1、"/>
      <w:lvlJc w:val="left"/>
    </w:lvl>
  </w:abstractNum>
  <w:abstractNum w:abstractNumId="1">
    <w:nsid w:val="565DE261"/>
    <w:multiLevelType w:val="singleLevel"/>
    <w:tmpl w:val="565DE261"/>
    <w:lvl w:ilvl="0" w:tentative="0">
      <w:start w:val="1"/>
      <w:numFmt w:val="decimal"/>
      <w:suff w:val="nothing"/>
      <w:lvlText w:val="%1、"/>
      <w:lvlJc w:val="left"/>
    </w:lvl>
  </w:abstractNum>
  <w:abstractNum w:abstractNumId="2">
    <w:nsid w:val="75FF2F81"/>
    <w:multiLevelType w:val="singleLevel"/>
    <w:tmpl w:val="75FF2F81"/>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kMzcyMjdiNGZiODQ2NDhjY2UzYzlmOTIzNTAyYjUifQ=="/>
  </w:docVars>
  <w:rsids>
    <w:rsidRoot w:val="00000000"/>
    <w:rsid w:val="03374C58"/>
    <w:rsid w:val="076C6A9D"/>
    <w:rsid w:val="086D573A"/>
    <w:rsid w:val="0C9D3498"/>
    <w:rsid w:val="0EFA7021"/>
    <w:rsid w:val="1A823879"/>
    <w:rsid w:val="20687CE3"/>
    <w:rsid w:val="20B4306B"/>
    <w:rsid w:val="29C9059D"/>
    <w:rsid w:val="2E5B0F11"/>
    <w:rsid w:val="36514283"/>
    <w:rsid w:val="397756FB"/>
    <w:rsid w:val="3CEC6B12"/>
    <w:rsid w:val="4213148C"/>
    <w:rsid w:val="4363454F"/>
    <w:rsid w:val="442D1C1E"/>
    <w:rsid w:val="4ADD6D8E"/>
    <w:rsid w:val="4BF2387D"/>
    <w:rsid w:val="4DF91844"/>
    <w:rsid w:val="570D1B8D"/>
    <w:rsid w:val="5C2C5A0D"/>
    <w:rsid w:val="5C8F56AB"/>
    <w:rsid w:val="5E99597B"/>
    <w:rsid w:val="61181721"/>
    <w:rsid w:val="63AE011A"/>
    <w:rsid w:val="6559526C"/>
    <w:rsid w:val="676F196F"/>
    <w:rsid w:val="6CFD7CAA"/>
    <w:rsid w:val="715916C6"/>
    <w:rsid w:val="776B084A"/>
    <w:rsid w:val="784F2599"/>
    <w:rsid w:val="7CEA7439"/>
    <w:rsid w:val="7DD54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1254</Words>
  <Characters>1254</Characters>
  <Lines>0</Lines>
  <Paragraphs>0</Paragraphs>
  <TotalTime>2</TotalTime>
  <ScaleCrop>false</ScaleCrop>
  <LinksUpToDate>false</LinksUpToDate>
  <CharactersWithSpaces>1254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2022-07-20T02:07:00Z</dcterms:created>
  <dc:creator>Lenovo</dc:creator>
  <cp:lastModifiedBy>Lenovo</cp:lastModifiedBy>
  <cp:lastPrinted>2022-07-21T08:36:00Z</cp:lastPrinted>
  <dcterms:modified xsi:type="dcterms:W3CDTF">2022-08-02T02:15:07Z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80D5B63A161245ABBA3BDF5CA77A64E8</vt:lpwstr>
  </property>
</Properties>
</file>