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4"/>
          <w:szCs w:val="44"/>
          <w:lang w:val="en-US" w:eastAsia="zh-CN"/>
        </w:rPr>
      </w:pPr>
      <w:bookmarkStart w:id="0" w:name="_GoBack"/>
      <w:r>
        <w:rPr>
          <w:rFonts w:hint="eastAsia" w:ascii="方正小标宋简体" w:hAnsi="方正小标宋简体" w:eastAsia="方正小标宋简体" w:cs="方正小标宋简体"/>
          <w:b/>
          <w:bCs/>
          <w:color w:val="auto"/>
          <w:sz w:val="44"/>
          <w:szCs w:val="44"/>
          <w:lang w:val="en-US" w:eastAsia="zh-CN"/>
        </w:rPr>
        <w:t>汝州市水利局重大行政执法决定法制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 w:hAnsi="仿宋" w:eastAsia="仿宋" w:cs="仿宋"/>
          <w:b w:val="0"/>
          <w:bCs w:val="0"/>
          <w:i w:val="0"/>
          <w:caps w:val="0"/>
          <w:color w:val="auto"/>
          <w:spacing w:val="0"/>
          <w:sz w:val="32"/>
          <w:szCs w:val="32"/>
          <w:lang w:val="en-US" w:eastAsia="zh-CN"/>
        </w:rPr>
      </w:pPr>
      <w:r>
        <w:rPr>
          <w:rFonts w:hint="eastAsia" w:ascii="方正小标宋简体" w:hAnsi="方正小标宋简体" w:eastAsia="方正小标宋简体" w:cs="方正小标宋简体"/>
          <w:b/>
          <w:bCs/>
          <w:color w:val="auto"/>
          <w:sz w:val="44"/>
          <w:szCs w:val="44"/>
          <w:lang w:val="en-US" w:eastAsia="zh-CN"/>
        </w:rPr>
        <w:t>审核事项清单及流程图</w:t>
      </w:r>
    </w:p>
    <w:bookmarkEnd w:id="0"/>
    <w:tbl>
      <w:tblPr>
        <w:tblStyle w:val="3"/>
        <w:tblpPr w:leftFromText="180" w:rightFromText="180" w:vertAnchor="text" w:horzAnchor="page" w:tblpX="401" w:tblpY="540"/>
        <w:tblOverlap w:val="never"/>
        <w:tblW w:w="10757" w:type="dxa"/>
        <w:tblInd w:w="0" w:type="dxa"/>
        <w:shd w:val="clear" w:color="auto" w:fill="auto"/>
        <w:tblLayout w:type="fixed"/>
        <w:tblCellMar>
          <w:top w:w="0" w:type="dxa"/>
          <w:left w:w="0" w:type="dxa"/>
          <w:bottom w:w="0" w:type="dxa"/>
          <w:right w:w="0" w:type="dxa"/>
        </w:tblCellMar>
      </w:tblPr>
      <w:tblGrid>
        <w:gridCol w:w="501"/>
        <w:gridCol w:w="1066"/>
        <w:gridCol w:w="2309"/>
        <w:gridCol w:w="2806"/>
        <w:gridCol w:w="4075"/>
      </w:tblGrid>
      <w:tr>
        <w:tblPrEx>
          <w:shd w:val="clear" w:color="auto" w:fill="auto"/>
          <w:tblCellMar>
            <w:top w:w="0" w:type="dxa"/>
            <w:left w:w="0" w:type="dxa"/>
            <w:bottom w:w="0" w:type="dxa"/>
            <w:right w:w="0" w:type="dxa"/>
          </w:tblCellMar>
        </w:tblPrEx>
        <w:trPr>
          <w:trHeight w:val="508" w:hRule="atLeast"/>
        </w:trPr>
        <w:tc>
          <w:tcPr>
            <w:tcW w:w="50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序号</w:t>
            </w:r>
          </w:p>
        </w:tc>
        <w:tc>
          <w:tcPr>
            <w:tcW w:w="106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执法类别</w:t>
            </w:r>
          </w:p>
        </w:tc>
        <w:tc>
          <w:tcPr>
            <w:tcW w:w="230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执法项目</w:t>
            </w:r>
          </w:p>
        </w:tc>
        <w:tc>
          <w:tcPr>
            <w:tcW w:w="2806"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应提交的审核资料</w:t>
            </w:r>
          </w:p>
        </w:tc>
        <w:tc>
          <w:tcPr>
            <w:tcW w:w="4075"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审核重点</w:t>
            </w:r>
          </w:p>
        </w:tc>
      </w:tr>
      <w:tr>
        <w:tblPrEx>
          <w:tblCellMar>
            <w:top w:w="0" w:type="dxa"/>
            <w:left w:w="0" w:type="dxa"/>
            <w:bottom w:w="0" w:type="dxa"/>
            <w:right w:w="0" w:type="dxa"/>
          </w:tblCellMar>
        </w:tblPrEx>
        <w:trPr>
          <w:trHeight w:val="1155"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1</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行政许可</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拟作出的不予行政许可决定或者撤销行政许可决定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《行政许可申请书》《不予行政许可决定书（初稿）》《撤销行政许可决定（初稿）》及其情况说明</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不予行政许可、撤销行政许可的事实是否清楚依据是否准确，理由是否适当，程序是否合法</w:t>
            </w:r>
          </w:p>
        </w:tc>
      </w:tr>
      <w:tr>
        <w:tblPrEx>
          <w:tblCellMar>
            <w:top w:w="0" w:type="dxa"/>
            <w:left w:w="0" w:type="dxa"/>
            <w:bottom w:w="0" w:type="dxa"/>
            <w:right w:w="0" w:type="dxa"/>
          </w:tblCellMar>
        </w:tblPrEx>
        <w:trPr>
          <w:trHeight w:val="1053"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2</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行政许可</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承办机构认为应当提请法制审核的其他重大、复杂、疑难的行政许可决定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《行政许可申请书》《核查笔录</w:t>
            </w:r>
            <w:r>
              <w:rPr>
                <w:rFonts w:hint="eastAsia" w:ascii="宋体" w:hAnsi="宋体" w:eastAsia="宋体" w:cs="宋体"/>
                <w:color w:val="auto"/>
                <w:lang w:eastAsia="zh-CN"/>
              </w:rPr>
              <w:t>》</w:t>
            </w:r>
            <w:r>
              <w:rPr>
                <w:rFonts w:hint="eastAsia" w:ascii="宋体" w:hAnsi="宋体" w:eastAsia="宋体" w:cs="宋体"/>
                <w:color w:val="auto"/>
              </w:rPr>
              <w:t>《行政许可决定书（代拟稿）》及其情况说明</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申请材料是否齐备，调查核实认定事实是否清楚、准确，证据是否确凿，程序是否合法，法律依据是否准确。</w:t>
            </w:r>
          </w:p>
        </w:tc>
      </w:tr>
      <w:tr>
        <w:tblPrEx>
          <w:tblCellMar>
            <w:top w:w="0" w:type="dxa"/>
            <w:left w:w="0" w:type="dxa"/>
            <w:bottom w:w="0" w:type="dxa"/>
            <w:right w:w="0" w:type="dxa"/>
          </w:tblCellMar>
        </w:tblPrEx>
        <w:trPr>
          <w:trHeight w:val="1152"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3</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行政处罚</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拟对公民处以</w:t>
            </w:r>
            <w:r>
              <w:rPr>
                <w:rFonts w:hint="eastAsia" w:ascii="宋体" w:hAnsi="宋体" w:eastAsia="宋体" w:cs="宋体"/>
                <w:color w:val="auto"/>
                <w:lang w:val="en-US" w:eastAsia="zh-CN"/>
              </w:rPr>
              <w:t>3000</w:t>
            </w:r>
            <w:r>
              <w:rPr>
                <w:rFonts w:hint="eastAsia" w:ascii="宋体" w:hAnsi="宋体" w:eastAsia="宋体" w:cs="宋体"/>
                <w:color w:val="auto"/>
              </w:rPr>
              <w:t>元以上罚款，对法人或者其他组织处以</w:t>
            </w:r>
            <w:r>
              <w:rPr>
                <w:rFonts w:hint="eastAsia" w:ascii="宋体" w:hAnsi="宋体" w:eastAsia="宋体" w:cs="宋体"/>
                <w:color w:val="auto"/>
                <w:lang w:val="en-US" w:eastAsia="zh-CN"/>
              </w:rPr>
              <w:t>3</w:t>
            </w:r>
            <w:r>
              <w:rPr>
                <w:rFonts w:hint="eastAsia" w:ascii="宋体" w:hAnsi="宋体" w:eastAsia="宋体" w:cs="宋体"/>
                <w:color w:val="auto"/>
              </w:rPr>
              <w:t>万元以上罚款的行政处罚决定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《调查终结报告》《行政处罚决定书（初稿）》和询问笔录、检查笔录等相关证据资料</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执法主体是否合法，执法人员是否具备执法资格；主要事实是否清楚，证据是否确凿、充分适用依据是否准确；处罚裁量是否适当；程序是否合法，是否充分保障行政相对人权利。</w:t>
            </w:r>
          </w:p>
        </w:tc>
      </w:tr>
      <w:tr>
        <w:tblPrEx>
          <w:shd w:val="clear" w:color="auto" w:fill="auto"/>
          <w:tblCellMar>
            <w:top w:w="0" w:type="dxa"/>
            <w:left w:w="0" w:type="dxa"/>
            <w:bottom w:w="0" w:type="dxa"/>
            <w:right w:w="0" w:type="dxa"/>
          </w:tblCellMar>
        </w:tblPrEx>
        <w:trPr>
          <w:trHeight w:val="982"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4</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行政处罚</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拟做出没收违法所得或没收非法财物价值相当于前项规定数额的行政处罚决定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《调查终结报告》《行政处罚决定书（初稿）》和询问笔录、检查笔录等相关证据资料</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执法主体是否合法，执法人员是否具备执法资格；主要事实是否清楚，证据是否确凿、充分适用依据是否准确；裁量是否适当；程序是否合法，是否充分保障行政相对人权利。</w:t>
            </w:r>
          </w:p>
        </w:tc>
      </w:tr>
      <w:tr>
        <w:tblPrEx>
          <w:shd w:val="clear" w:color="auto" w:fill="auto"/>
          <w:tblCellMar>
            <w:top w:w="0" w:type="dxa"/>
            <w:left w:w="0" w:type="dxa"/>
            <w:bottom w:w="0" w:type="dxa"/>
            <w:right w:w="0" w:type="dxa"/>
          </w:tblCellMar>
        </w:tblPrEx>
        <w:trPr>
          <w:trHeight w:val="1548"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5</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行政处罚</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拟做出给予吊销许可证决定的</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《调查终结报告》《行政处罚决定书（初稿）》和询问笔录、检查笔录等相关证据资料</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执法主体是否合法，执法人员是否具备执法资格；主要事实是否清楚，证据是否确凿、充分适用依据是否准确；裁量是否适当；程序是否合法，是否充分保障行政相对人权利。</w:t>
            </w:r>
          </w:p>
        </w:tc>
      </w:tr>
      <w:tr>
        <w:tblPrEx>
          <w:shd w:val="clear" w:color="auto" w:fill="auto"/>
          <w:tblCellMar>
            <w:top w:w="0" w:type="dxa"/>
            <w:left w:w="0" w:type="dxa"/>
            <w:bottom w:w="0" w:type="dxa"/>
            <w:right w:w="0" w:type="dxa"/>
          </w:tblCellMar>
        </w:tblPrEx>
        <w:trPr>
          <w:trHeight w:val="1271"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6</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行政处罚</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经听证程序后作出的行政处罚决定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《调查终结报告》《听证笔录》《行政处罚决定书（初稿）》和询问笔录、检查笔录等相关证据资料</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执法主体是否合法，执法人员是否具备执法资 格；主要事实是否清楚，证据是否确凿、充分 适用依据是否准确；裁量是否适当；程序是否合法，是否充分保障行政相对人权利。</w:t>
            </w:r>
          </w:p>
        </w:tc>
      </w:tr>
      <w:tr>
        <w:tblPrEx>
          <w:shd w:val="clear" w:color="auto" w:fill="auto"/>
          <w:tblCellMar>
            <w:top w:w="0" w:type="dxa"/>
            <w:left w:w="0" w:type="dxa"/>
            <w:bottom w:w="0" w:type="dxa"/>
            <w:right w:w="0" w:type="dxa"/>
          </w:tblCellMar>
        </w:tblPrEx>
        <w:trPr>
          <w:trHeight w:val="1398"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7</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行政处罚</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案件承办机构认为应当 提请法制审核的其他重大、复杂、疑难的行政处罚决定。</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《调查终结报告》《行政处罚决定书（初稿）》和询问笔录、检查笔录等相关证据资料</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执法主体是否合法，执法人员是否具备执法资格；主要事实是否清楚，证据是否确凿、充分适用依据是否准确；处罚裁量是否适当；程序是否合法，是否充分保障行政相对人权利。</w:t>
            </w:r>
          </w:p>
        </w:tc>
      </w:tr>
      <w:tr>
        <w:tblPrEx>
          <w:shd w:val="clear" w:color="auto" w:fill="auto"/>
          <w:tblCellMar>
            <w:top w:w="0" w:type="dxa"/>
            <w:left w:w="0" w:type="dxa"/>
            <w:bottom w:w="0" w:type="dxa"/>
            <w:right w:w="0" w:type="dxa"/>
          </w:tblCellMar>
        </w:tblPrEx>
        <w:trPr>
          <w:trHeight w:val="1225" w:hRule="atLeast"/>
        </w:trPr>
        <w:tc>
          <w:tcPr>
            <w:tcW w:w="501"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8</w:t>
            </w:r>
          </w:p>
        </w:tc>
        <w:tc>
          <w:tcPr>
            <w:tcW w:w="106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color w:val="auto"/>
              </w:rPr>
            </w:pPr>
            <w:r>
              <w:rPr>
                <w:rFonts w:hint="eastAsia" w:ascii="宋体" w:hAnsi="宋体" w:eastAsia="宋体" w:cs="宋体"/>
                <w:color w:val="auto"/>
              </w:rPr>
              <w:t>其他类</w:t>
            </w:r>
          </w:p>
        </w:tc>
        <w:tc>
          <w:tcPr>
            <w:tcW w:w="2309"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涉嫌犯罪需要移送司法机关的执法事项</w:t>
            </w:r>
          </w:p>
        </w:tc>
        <w:tc>
          <w:tcPr>
            <w:tcW w:w="2806"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《行政违法案件移送函（初稿）和案件情况调查报告、涉嫌犯罪案件有关材料、涉案物品清单</w:t>
            </w:r>
          </w:p>
        </w:tc>
        <w:tc>
          <w:tcPr>
            <w:tcW w:w="4075" w:type="dxa"/>
            <w:tcBorders>
              <w:top w:val="nil"/>
              <w:left w:val="nil"/>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jc w:val="both"/>
              <w:textAlignment w:val="auto"/>
              <w:outlineLvl w:val="9"/>
              <w:rPr>
                <w:rFonts w:hint="eastAsia" w:ascii="宋体" w:hAnsi="宋体" w:eastAsia="宋体" w:cs="宋体"/>
                <w:color w:val="auto"/>
              </w:rPr>
            </w:pPr>
            <w:r>
              <w:rPr>
                <w:rFonts w:hint="eastAsia" w:ascii="宋体" w:hAnsi="宋体" w:eastAsia="宋体" w:cs="宋体"/>
                <w:color w:val="auto"/>
              </w:rPr>
              <w:t>涉嫌犯罪的事实是否清楚，证据是否确凿、充分，适用依据是否准确；调查办案程序是否合法。</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小标宋" w:hAnsi="小标宋" w:eastAsia="小标宋" w:cs="小标宋"/>
          <w:b w:val="0"/>
          <w:bCs w:val="0"/>
          <w:i w:val="0"/>
          <w:caps w:val="0"/>
          <w:color w:val="auto"/>
          <w:spacing w:val="0"/>
          <w:sz w:val="40"/>
          <w:szCs w:val="40"/>
          <w:lang w:eastAsia="zh-CN"/>
        </w:rPr>
      </w:pPr>
      <w:r>
        <w:rPr>
          <w:rFonts w:hint="eastAsia" w:ascii="黑体" w:hAnsi="黑体" w:eastAsia="黑体" w:cs="黑体"/>
          <w:b w:val="0"/>
          <w:bCs w:val="0"/>
          <w:i w:val="0"/>
          <w:caps w:val="0"/>
          <w:color w:val="auto"/>
          <w:spacing w:val="0"/>
          <w:sz w:val="32"/>
          <w:szCs w:val="32"/>
          <w:lang w:val="en-US" w:eastAsia="zh-CN"/>
        </w:rPr>
        <w:t xml:space="preserve">       </w:t>
      </w:r>
    </w:p>
    <w:p>
      <w:pPr>
        <w:tabs>
          <w:tab w:val="left" w:pos="2383"/>
        </w:tabs>
        <w:jc w:val="left"/>
        <w:rPr>
          <w:lang w:val="en-US" w:eastAsia="zh-CN"/>
        </w:rPr>
      </w:pPr>
    </w:p>
    <w:p>
      <w:pPr>
        <w:tabs>
          <w:tab w:val="left" w:pos="2383"/>
        </w:tabs>
        <w:jc w:val="left"/>
        <w:rPr>
          <w:lang w:val="en-US" w:eastAsia="zh-CN"/>
        </w:rPr>
      </w:pPr>
      <w:r>
        <w:rPr>
          <w:lang w:val="en-US" w:eastAsia="zh-CN"/>
        </w:rPr>
        <w:drawing>
          <wp:anchor distT="0" distB="0" distL="114300" distR="114300" simplePos="0" relativeHeight="251659264" behindDoc="1" locked="0" layoutInCell="1" allowOverlap="1">
            <wp:simplePos x="0" y="0"/>
            <wp:positionH relativeFrom="column">
              <wp:posOffset>-674370</wp:posOffset>
            </wp:positionH>
            <wp:positionV relativeFrom="paragraph">
              <wp:posOffset>182880</wp:posOffset>
            </wp:positionV>
            <wp:extent cx="6713855" cy="3603625"/>
            <wp:effectExtent l="0" t="0" r="10795" b="15875"/>
            <wp:wrapNone/>
            <wp:docPr id="1" name="图片 1" descr="5e7d671fa8c44f2f7513ab77ce1e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7d671fa8c44f2f7513ab77ce1ed85"/>
                    <pic:cNvPicPr>
                      <a:picLocks noChangeAspect="1"/>
                    </pic:cNvPicPr>
                  </pic:nvPicPr>
                  <pic:blipFill>
                    <a:blip r:embed="rId4"/>
                    <a:stretch>
                      <a:fillRect/>
                    </a:stretch>
                  </pic:blipFill>
                  <pic:spPr>
                    <a:xfrm>
                      <a:off x="0" y="0"/>
                      <a:ext cx="6713855" cy="3603625"/>
                    </a:xfrm>
                    <a:prstGeom prst="rect">
                      <a:avLst/>
                    </a:prstGeom>
                  </pic:spPr>
                </pic:pic>
              </a:graphicData>
            </a:graphic>
          </wp:anchor>
        </w:drawing>
      </w:r>
    </w:p>
    <w:p>
      <w:pPr>
        <w:rPr>
          <w:rFonts w:hint="eastAsia" w:ascii="仿宋" w:hAnsi="仿宋" w:eastAsia="仿宋" w:cs="仿宋"/>
          <w:sz w:val="28"/>
          <w:szCs w:val="28"/>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bidi w:val="0"/>
        <w:adjustRightInd/>
        <w:snapToGrid/>
        <w:spacing w:before="0" w:beforeAutospacing="0" w:after="0" w:afterAutospacing="0" w:line="560" w:lineRule="exact"/>
        <w:ind w:right="0" w:rightChars="0"/>
        <w:jc w:val="right"/>
        <w:textAlignment w:val="auto"/>
        <w:rPr>
          <w:rFonts w:hint="default" w:ascii="仿宋" w:hAnsi="仿宋" w:eastAsia="仿宋" w:cs="仿宋"/>
          <w:b w:val="0"/>
          <w:bCs/>
          <w:color w:val="000000" w:themeColor="text1"/>
          <w:sz w:val="32"/>
          <w:szCs w:val="32"/>
          <w:lang w:val="en-US"/>
          <w14:textFill>
            <w14:solidFill>
              <w14:schemeClr w14:val="tx1"/>
            </w14:solidFill>
          </w14:textFill>
        </w:rPr>
      </w:pPr>
      <w:r>
        <w:rPr>
          <w:rFonts w:hint="eastAsia" w:ascii="仿宋" w:hAnsi="仿宋" w:eastAsia="仿宋" w:cs="仿宋"/>
          <w:b w:val="0"/>
          <w:bCs/>
          <w:color w:val="000000" w:themeColor="text1"/>
          <w:kern w:val="2"/>
          <w:sz w:val="32"/>
          <w:szCs w:val="32"/>
          <w:lang w:val="en-US" w:eastAsia="zh-CN" w:bidi="ar"/>
          <w14:textFill>
            <w14:solidFill>
              <w14:schemeClr w14:val="tx1"/>
            </w14:solidFill>
          </w14:textFill>
        </w:rPr>
        <w:t xml:space="preserve">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MjY5ZWIwNmY4MmFmZGU3NjEyYWEzYTk4ZmZkOGMifQ=="/>
  </w:docVars>
  <w:rsids>
    <w:rsidRoot w:val="00000000"/>
    <w:rsid w:val="2D254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2022-08-29T01:07:46Z</dcterms:created>
  <dc:creator>Administrator</dc:creator>
  <cp:lastModifiedBy>笑倚春风不自知</cp:lastModifiedBy>
  <dcterms:modified xsi:type="dcterms:W3CDTF">2022-08-29T01:08:00Z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173018E2E78E465BAAF9999CAE9F46D0</vt:lpwstr>
  </property>
</Properties>
</file>