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建筑类建设工程规划许可服务指南</w:t>
      </w:r>
    </w:p>
    <w:p>
      <w:pPr>
        <w:widowControl w:val="0"/>
        <w:wordWrap/>
        <w:adjustRightInd/>
        <w:snapToGrid/>
        <w:ind w:firstLine="420" w:firstLineChars="200"/>
        <w:jc w:val="left"/>
        <w:textAlignment w:val="auto"/>
        <w:outlineLvl w:val="9"/>
        <w:rPr>
          <w:rFonts w:hint="eastAsia" w:ascii="宋体" w:hAnsi="宋体" w:eastAsia="宋体" w:cs="宋体"/>
          <w:sz w:val="21"/>
          <w:szCs w:val="21"/>
          <w:lang w:val="en-US" w:eastAsia="zh-CN"/>
        </w:rPr>
      </w:pP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适用范围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事项类型</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行政许可</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设立依据</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1.《中华人民共和国城乡规划法》（2007年10月28日公布 中华人民共和国主席令第74号）第四十条：在城市、镇规划区内进行建筑物、构筑物、道路、管线和其他工程建设的，建设单位或者个人应当向城市、县人民政府城乡规划主管部门或者省、自治区、直辖市人民政府确定的镇人民政府申请办理建设工程规划许可证。第四十四条：在城市、镇规划区内进行临时建设的，应当经城市、县人民政府城乡规划主管部门批准。临时建设影响近期建设规划或者控制性详细规划的实施以及交通、市容、安全等的，不得批准。</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2.《河南省实施&lt;中华人民共和国城乡规划法&gt;办法》（2010年7月30日河南省第十一届人民代表大会常务委员会第十六次会议通过  2010年7月30日河南省第十一届人民代表大会常务委员会公告第34号公布  自2010年12月1日起施行）第四十三条 在城市、镇规划区内新建、改建、扩建建筑物、构筑物以及进行道路、管线和其他工程建设的，建设单位或者个人应当持下列材料向城市、县人民政府城乡规划主管部门或者省人民政府确定的镇人民政府申请核发建设工程规划许可证：</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（一）建设工程规划许可申请书；</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（二）使用土地的有关证明文件；</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（三）建设项目批准、核准、备案文件或者相关文件；</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（四）建设工程设计方案；</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（五）依照规定需要建设单位编制修建性详细规划的建设项目，应当提交修建性详细规划；</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（六）法律、法规规定的其他材料。</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经审查符合规划要求的，城市、县人民政府城乡规划主管部门或者省人民政府确定的镇人民政府应当在法定期限内核发建设工程规划许可证。对不符合规划要求的，不予核发建设工程规划许可证并书面说明理由。</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受理机构</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eastAsia="宋体" w:cs="宋体"/>
          <w:color w:val="auto"/>
          <w:sz w:val="21"/>
          <w:szCs w:val="21"/>
          <w:lang w:val="en-US" w:eastAsia="zh-CN"/>
        </w:rPr>
        <w:t>汝州市行政审批服务中心三楼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决定机构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宋体" w:hAnsi="宋体" w:eastAsia="宋体" w:cs="宋体"/>
          <w:color w:val="auto"/>
          <w:sz w:val="21"/>
          <w:szCs w:val="21"/>
          <w:lang w:val="en-US" w:eastAsia="zh-CN"/>
        </w:rPr>
        <w:t>汝州市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（一）准予批准的条件：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1.申请材料齐全、规范的</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（二）不准予批准的条件：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1.申请材料不齐全的</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（三）其它需说明的情形：</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申办材料</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申办材料应符合以下要求：</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序号</w:t>
            </w:r>
          </w:p>
        </w:tc>
        <w:tc>
          <w:tcPr>
            <w:tcW w:w="243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提交材料名称</w:t>
            </w:r>
          </w:p>
        </w:tc>
        <w:tc>
          <w:tcPr>
            <w:tcW w:w="1458"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原件/复印件</w:t>
            </w:r>
          </w:p>
        </w:tc>
        <w:tc>
          <w:tcPr>
            <w:tcW w:w="82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份数</w:t>
            </w:r>
          </w:p>
        </w:tc>
        <w:tc>
          <w:tcPr>
            <w:tcW w:w="156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纸质/电子版</w:t>
            </w:r>
          </w:p>
        </w:tc>
        <w:tc>
          <w:tcPr>
            <w:tcW w:w="2149"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2430" w:type="dxa"/>
            <w:vAlign w:val="center"/>
          </w:tcPr>
          <w:p>
            <w:pPr>
              <w:widowControl/>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rPr>
              <w:t>建设工程规划许可申请书（原件一份）</w:t>
            </w:r>
            <w:r>
              <w:rPr>
                <w:rFonts w:hint="eastAsia" w:ascii="宋体" w:hAnsi="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营业执照或事业单位法人证书或组织机构代码证（复印件一份，核原件）</w:t>
            </w:r>
            <w:r>
              <w:rPr>
                <w:rFonts w:hint="eastAsia" w:ascii="宋体" w:hAnsi="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授权委托书（原件一份）和受委托人身份证（复印件一份，核原件）</w:t>
            </w:r>
          </w:p>
        </w:tc>
        <w:tc>
          <w:tcPr>
            <w:tcW w:w="1458" w:type="dxa"/>
            <w:vAlign w:val="center"/>
          </w:tcPr>
          <w:p>
            <w:pPr>
              <w:widowControl/>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rPr>
              <w:t>原件</w:t>
            </w:r>
          </w:p>
        </w:tc>
        <w:tc>
          <w:tcPr>
            <w:tcW w:w="82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156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color w:val="auto"/>
                <w:sz w:val="18"/>
                <w:szCs w:val="18"/>
                <w:lang w:eastAsia="zh-CN"/>
              </w:rPr>
              <w:t>纸质版申请书</w:t>
            </w:r>
            <w:r>
              <w:rPr>
                <w:rFonts w:hint="eastAsia" w:ascii="宋体" w:hAnsi="宋体" w:cs="宋体"/>
                <w:color w:val="auto"/>
                <w:sz w:val="18"/>
                <w:szCs w:val="18"/>
              </w:rPr>
              <w:t>需加盖</w:t>
            </w:r>
            <w:r>
              <w:rPr>
                <w:rFonts w:hint="eastAsia" w:ascii="宋体" w:hAnsi="宋体" w:cs="宋体"/>
                <w:color w:val="auto"/>
                <w:sz w:val="18"/>
                <w:szCs w:val="18"/>
                <w:lang w:eastAsia="zh-CN"/>
              </w:rPr>
              <w:t>申请</w:t>
            </w:r>
            <w:r>
              <w:rPr>
                <w:rFonts w:hint="eastAsia" w:ascii="宋体" w:hAnsi="宋体" w:cs="宋体"/>
                <w:color w:val="auto"/>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2430"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使用土地的有关证明文件（复印件一份，核原件）</w:t>
            </w:r>
          </w:p>
        </w:tc>
        <w:tc>
          <w:tcPr>
            <w:tcW w:w="1458"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原件和复印件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审核原件，留存复印件，并加盖申请单位公章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2430"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建设项目审批、核准或者备案文件（复印件一份，核原件）。</w:t>
            </w:r>
          </w:p>
        </w:tc>
        <w:tc>
          <w:tcPr>
            <w:tcW w:w="1458"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原件和复印件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审核原件，留存复印件</w:t>
            </w:r>
            <w:r>
              <w:rPr>
                <w:rFonts w:hint="eastAsia" w:ascii="宋体" w:hAnsi="宋体" w:cs="宋体"/>
                <w:b w:val="0"/>
                <w:bCs w:val="0"/>
                <w:sz w:val="18"/>
                <w:szCs w:val="18"/>
                <w:lang w:val="en-US" w:eastAsia="zh-CN"/>
              </w:rPr>
              <w:t>，并加盖申请单位公章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2430"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建设工程设计方案（原件）；</w:t>
            </w:r>
          </w:p>
        </w:tc>
        <w:tc>
          <w:tcPr>
            <w:tcW w:w="1458"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原件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2430"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需编制修建性详细规划的建设工程应当提交修建性详细规划。</w:t>
            </w:r>
          </w:p>
        </w:tc>
        <w:tc>
          <w:tcPr>
            <w:tcW w:w="1458"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原件</w:t>
            </w:r>
            <w:r>
              <w:rPr>
                <w:rFonts w:hint="eastAsia" w:ascii="宋体" w:hAnsi="宋体" w:cs="宋体"/>
                <w:i w:val="0"/>
                <w:color w:val="000000"/>
                <w:kern w:val="0"/>
                <w:sz w:val="18"/>
                <w:szCs w:val="18"/>
                <w:u w:val="none"/>
                <w:lang w:val="en-US" w:eastAsia="zh-CN"/>
              </w:rPr>
              <w:t>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审核原件，留存复印件</w:t>
            </w:r>
            <w:r>
              <w:rPr>
                <w:rFonts w:hint="eastAsia" w:ascii="宋体" w:hAnsi="宋体" w:cs="宋体"/>
                <w:b w:val="0"/>
                <w:bCs w:val="0"/>
                <w:sz w:val="18"/>
                <w:szCs w:val="18"/>
                <w:lang w:val="en-US" w:eastAsia="zh-CN"/>
              </w:rPr>
              <w:t>，并加盖申请单位公章</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受理方式</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窗口受理：</w:t>
      </w:r>
      <w:r>
        <w:rPr>
          <w:rFonts w:hint="eastAsia" w:ascii="宋体" w:hAnsi="宋体" w:cs="宋体"/>
          <w:b w:val="0"/>
          <w:bCs w:val="0"/>
          <w:sz w:val="21"/>
          <w:szCs w:val="21"/>
          <w:lang w:val="en-US" w:eastAsia="zh-CN"/>
        </w:rPr>
        <w:t>汝州市市民之家三楼自然资源和规划局业务窗口</w:t>
      </w:r>
      <w:r>
        <w:rPr>
          <w:rFonts w:hint="eastAsia" w:asciiTheme="minorEastAsia" w:hAnsiTheme="minorEastAsia" w:cstheme="minorEastAsia"/>
          <w:b w:val="0"/>
          <w:bCs w:val="0"/>
          <w:sz w:val="21"/>
          <w:szCs w:val="21"/>
          <w:lang w:val="en-US" w:eastAsia="zh-CN"/>
        </w:rPr>
        <w:t>提交申办材料。</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网上申报：进入河南政务服务网（http://www.hnzwfw.gov.cn）按照提示进行网上申报。</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办理流程</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（一）申请</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申请单位应按照要求,准备相关申请村料，按照许可权限，向许可机关提出许可申请。</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（二）受理</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许可机关对申请材料进行审查。申请村料齐全、规范的,许可机关予以受理,出具《受理通知书》。申请材料不齐全的,应一次告知申请人需要补正的全部内容,出具《行政许可申请材料补正告知书。</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（三）审查</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根据法定条件和程序,申请材料受理后,行政许可机关应当指派2名以上工作人员对申请材料的内容进行审查，对申请单位项目现场进行实地踏勘，并将审查情况和现场踏勘情况报局主管领导审批。</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（四）决定</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申请材料符合法定条件的,现场核查无误的,许可机关填写行政许可决定审批表,经审定,依法制发《建设工程规划许可证》；申请材料不实、不符合法定条件的,行政许可机关做出《不予受理决定书》。</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（五）送达</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《建设工程规划许可证》或《不予受理决定书》作出后直接送达当事人或以邮寄的方式送达当事人。</w:t>
      </w:r>
    </w:p>
    <w:p>
      <w:pPr>
        <w:numPr>
          <w:ilvl w:val="0"/>
          <w:numId w:val="1"/>
        </w:numPr>
        <w:jc w:val="left"/>
        <w:rPr>
          <w:rFonts w:ascii="黑体" w:hAnsi="黑体" w:eastAsia="黑体" w:cs="黑体"/>
          <w:b/>
          <w:bCs/>
          <w:szCs w:val="21"/>
        </w:rPr>
      </w:pPr>
      <w:r>
        <w:rPr>
          <w:rFonts w:hint="eastAsia" w:ascii="黑体" w:hAnsi="黑体" w:eastAsia="黑体" w:cs="黑体"/>
          <w:b/>
          <w:bCs/>
          <w:szCs w:val="21"/>
        </w:rPr>
        <w:t>办理时限</w:t>
      </w:r>
    </w:p>
    <w:p>
      <w:pPr>
        <w:numPr>
          <w:ilvl w:val="0"/>
          <w:numId w:val="3"/>
        </w:num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法定时限</w:t>
      </w:r>
    </w:p>
    <w:p>
      <w:pPr>
        <w:ind w:firstLine="420" w:firstLineChars="200"/>
        <w:jc w:val="left"/>
        <w:rPr>
          <w:rFonts w:asciiTheme="minorEastAsia" w:hAnsiTheme="minorEastAsia" w:cstheme="minorEastAsia"/>
          <w:szCs w:val="21"/>
        </w:rPr>
      </w:pPr>
      <w:r>
        <w:rPr>
          <w:rFonts w:hint="eastAsia" w:asciiTheme="minorEastAsia" w:hAnsiTheme="minorEastAsia" w:cstheme="minorEastAsia"/>
          <w:color w:val="auto"/>
          <w:szCs w:val="21"/>
        </w:rPr>
        <w:t>自受理之日起20个工作日</w:t>
      </w:r>
      <w:r>
        <w:rPr>
          <w:rFonts w:hint="eastAsia" w:cs="宋体" w:asciiTheme="minorEastAsia" w:hAnsiTheme="minorEastAsia"/>
          <w:color w:val="auto"/>
          <w:szCs w:val="21"/>
        </w:rPr>
        <w:t>（20个工作日内不能作出决定的，经本行政机关负责人批准，可延长10个工作日，并应当将延长期限的理由告知申请人）。</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（二）承诺时限 </w:t>
      </w:r>
    </w:p>
    <w:p>
      <w:pPr>
        <w:ind w:firstLine="420" w:firstLineChars="200"/>
        <w:jc w:val="left"/>
        <w:rPr>
          <w:rFonts w:asciiTheme="minorEastAsia" w:hAnsiTheme="minorEastAsia" w:cstheme="minorEastAsia"/>
          <w:color w:val="FF0000"/>
          <w:szCs w:val="21"/>
        </w:rPr>
      </w:pPr>
      <w:r>
        <w:rPr>
          <w:rFonts w:hint="eastAsia" w:asciiTheme="minorEastAsia" w:hAnsiTheme="minorEastAsia" w:cstheme="minorEastAsia"/>
          <w:color w:val="auto"/>
          <w:szCs w:val="21"/>
        </w:rPr>
        <w:t>自受理之日起</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收费依据及标准</w:t>
      </w:r>
      <w:bookmarkStart w:id="0" w:name="_GoBack"/>
      <w:bookmarkEnd w:id="0"/>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w:t>
      </w:r>
      <w:r>
        <w:rPr>
          <w:rFonts w:hint="eastAsia" w:ascii="宋体" w:hAnsi="宋体" w:eastAsia="宋体" w:cs="宋体"/>
          <w:color w:val="auto"/>
          <w:sz w:val="21"/>
          <w:szCs w:val="21"/>
          <w:lang w:val="en-US" w:eastAsia="zh-CN"/>
        </w:rPr>
        <w:t>汝州市</w:t>
      </w:r>
      <w:r>
        <w:rPr>
          <w:rFonts w:hint="eastAsia" w:ascii="宋体" w:hAnsi="宋体" w:cs="宋体"/>
          <w:b w:val="0"/>
          <w:bCs w:val="0"/>
          <w:sz w:val="21"/>
          <w:szCs w:val="21"/>
          <w:lang w:val="en-US" w:eastAsia="zh-CN"/>
        </w:rPr>
        <w:t>行政审批服务中心三楼规划业务窗口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6868918</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w:t>
      </w:r>
      <w:r>
        <w:rPr>
          <w:rFonts w:hint="eastAsia" w:ascii="宋体" w:hAnsi="宋体" w:eastAsia="宋体" w:cs="宋体"/>
          <w:color w:val="auto"/>
          <w:sz w:val="21"/>
          <w:szCs w:val="21"/>
          <w:lang w:val="en-US" w:eastAsia="zh-CN"/>
        </w:rPr>
        <w:t>汝州市</w:t>
      </w:r>
      <w:r>
        <w:rPr>
          <w:rFonts w:hint="eastAsia" w:ascii="宋体" w:hAnsi="宋体" w:cs="宋体"/>
          <w:b w:val="0"/>
          <w:bCs w:val="0"/>
          <w:sz w:val="21"/>
          <w:szCs w:val="21"/>
          <w:lang w:val="en-US" w:eastAsia="zh-CN"/>
        </w:rPr>
        <w:t>行政审批服务中心投诉监督科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0375-6799523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办理地址：汝州市市民之家三楼自然资源和规划局业务窗口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时间：周一至周五， 法定节假日除外 。 夏季：上午08:00-12:00 下午 15:00-18:00； 冬季：上午08:00-12:00 下午 14:30-17:30</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：汝州市市民之家三楼自然资源和规划局业务窗口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w:t>
      </w:r>
      <w:r>
        <w:rPr>
          <w:rFonts w:hint="eastAsia" w:ascii="宋体" w:hAnsi="宋体" w:cs="宋体"/>
          <w:b w:val="0"/>
          <w:bCs w:val="0"/>
          <w:sz w:val="21"/>
          <w:szCs w:val="21"/>
          <w:lang w:val="en-US" w:eastAsia="zh-CN"/>
        </w:rPr>
        <w:t>6868918</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10"/>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：汝州市市民之家三楼自然资源和规划局业务窗口</w:t>
      </w:r>
    </w:p>
    <w:p>
      <w:pPr>
        <w:widowControl w:val="0"/>
        <w:numPr>
          <w:ilvl w:val="0"/>
          <w:numId w:val="0"/>
        </w:numPr>
        <w:wordWrap/>
        <w:adjustRightInd/>
        <w:snapToGrid/>
        <w:ind w:firstLine="420" w:firstLineChars="200"/>
        <w:jc w:val="left"/>
        <w:textAlignment w:val="auto"/>
        <w:outlineLvl w:val="9"/>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0375－6868918</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p>
    <w:sectPr>
      <w:headerReference r:id="rId3" w:type="default"/>
      <w:footerReference r:id="rId4" w:type="default"/>
      <w:pgSz w:w="11906" w:h="16838"/>
      <w:pgMar w:top="2098" w:right="1474" w:bottom="1984" w:left="1587" w:header="851" w:footer="992" w:gutter="0"/>
      <w:pgNumType w:fmt="decimal" w:start="17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p>
    <w:pPr>
      <w:pStyle w:val="4"/>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2E2YjM4ZThlZGU2NTY3YjVjMDEwZDhhZjlmMGEifQ=="/>
  </w:docVars>
  <w:rsids>
    <w:rsidRoot w:val="4D27061E"/>
    <w:rsid w:val="036614B6"/>
    <w:rsid w:val="05E95AAD"/>
    <w:rsid w:val="067D61E5"/>
    <w:rsid w:val="0CF32B52"/>
    <w:rsid w:val="0E98755D"/>
    <w:rsid w:val="10186304"/>
    <w:rsid w:val="1B97666D"/>
    <w:rsid w:val="217216D2"/>
    <w:rsid w:val="23D47986"/>
    <w:rsid w:val="246938F0"/>
    <w:rsid w:val="2AD20360"/>
    <w:rsid w:val="2E7D59D1"/>
    <w:rsid w:val="32F63D60"/>
    <w:rsid w:val="3A4C7114"/>
    <w:rsid w:val="46382A93"/>
    <w:rsid w:val="465173FF"/>
    <w:rsid w:val="4C9B7EE1"/>
    <w:rsid w:val="4D27061E"/>
    <w:rsid w:val="4F7A0D60"/>
    <w:rsid w:val="530725F5"/>
    <w:rsid w:val="548B3D6C"/>
    <w:rsid w:val="554866E8"/>
    <w:rsid w:val="556D6DDC"/>
    <w:rsid w:val="55DE5728"/>
    <w:rsid w:val="5B1E1AC1"/>
    <w:rsid w:val="609F7504"/>
    <w:rsid w:val="60FC4F1E"/>
    <w:rsid w:val="620C4260"/>
    <w:rsid w:val="624469C5"/>
    <w:rsid w:val="72226121"/>
    <w:rsid w:val="722F31BC"/>
    <w:rsid w:val="73C25285"/>
    <w:rsid w:val="74095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jc w:val="center"/>
      <w:outlineLvl w:val="0"/>
    </w:pPr>
    <w:rPr>
      <w:rFonts w:ascii="Calibri" w:hAnsi="Calibri" w:eastAsia="宋体"/>
      <w:b/>
      <w:kern w:val="2"/>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潘林鹏</cp:lastModifiedBy>
  <cp:lastPrinted>2018-12-21T08:23:00Z</cp:lastPrinted>
  <dcterms:modified xsi:type="dcterms:W3CDTF">2022-06-01T02:24:35Z</dcterms:modified>
  <dc:title>FWZN-00545217XXK12859006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51B2557A3FD14374AE691891C12C2CE7</vt:lpwstr>
  </property>
</Properties>
</file>