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成品油零售经营企业地址变更（初审）服务指南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企业地址变更</w:t>
      </w:r>
      <w:r>
        <w:rPr>
          <w:rFonts w:hint="eastAsia" w:ascii="宋体" w:hAnsi="宋体" w:eastAsia="宋体" w:cs="宋体"/>
          <w:sz w:val="24"/>
          <w:szCs w:val="24"/>
        </w:rPr>
        <w:t>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005507281XK57326006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申请成品油零售经营地址变更（初审）的企业法人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关于成品油零售经营资格的延续申请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县级商务主管部门申请报告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成品油经营批准证书变更登记表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成品油企业变更申请书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成品油零售经营批准证书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正副本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成品油经营场所合法使用权证明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5"/>
        <w:spacing w:before="156" w:beforeLines="50" w:after="156" w:afterLines="50"/>
        <w:ind w:left="0" w:leftChars="0" w:firstLine="0" w:firstLine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十二、办理地址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DB32B7E"/>
    <w:rsid w:val="201C0463"/>
    <w:rsid w:val="45481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2021-11-22T06:45:07Z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38F73ED4A57A409F8F86196383880129</vt:lpwstr>
  </property>
</Properties>
</file>