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汝州市商务局证明事项告知承诺制清单</w:t>
      </w:r>
    </w:p>
    <w:p>
      <w:pPr>
        <w:jc w:val="center"/>
        <w:rPr>
          <w:rFonts w:hint="eastAsia" w:ascii="方正小标宋_GBK" w:hAnsi="方正小标宋_GBK" w:eastAsia="方正小标宋_GBK" w:cs="方正小标宋_GBK"/>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703"/>
        <w:gridCol w:w="1703"/>
        <w:gridCol w:w="1767"/>
        <w:gridCol w:w="6834"/>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743"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序号</w:t>
            </w:r>
          </w:p>
        </w:tc>
        <w:tc>
          <w:tcPr>
            <w:tcW w:w="1703"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承办单位</w:t>
            </w:r>
          </w:p>
        </w:tc>
        <w:tc>
          <w:tcPr>
            <w:tcW w:w="1703"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i w:val="0"/>
                <w:iCs w:val="0"/>
                <w:color w:val="000000"/>
                <w:kern w:val="0"/>
                <w:sz w:val="24"/>
                <w:szCs w:val="24"/>
                <w:u w:val="none"/>
                <w:lang w:val="en-US" w:eastAsia="zh-CN" w:bidi="ar"/>
              </w:rPr>
              <w:t>行政事项名称</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实行告知承诺制的证明事项</w:t>
            </w:r>
          </w:p>
        </w:tc>
        <w:tc>
          <w:tcPr>
            <w:tcW w:w="6834"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证明事项设定依据</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3"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11</w:t>
            </w:r>
          </w:p>
        </w:tc>
        <w:tc>
          <w:tcPr>
            <w:tcW w:w="1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汝州市商务局</w:t>
            </w:r>
          </w:p>
        </w:tc>
        <w:tc>
          <w:tcPr>
            <w:tcW w:w="1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对外贸易经营者备案登记</w:t>
            </w:r>
          </w:p>
        </w:tc>
        <w:tc>
          <w:tcPr>
            <w:tcW w:w="1767" w:type="dxa"/>
            <w:noWrap w:val="0"/>
            <w:vAlign w:val="center"/>
          </w:tcPr>
          <w:p>
            <w:pPr>
              <w:keepNext w:val="0"/>
              <w:keepLines w:val="0"/>
              <w:pageBreakBefore w:val="0"/>
              <w:numPr>
                <w:ilvl w:val="0"/>
                <w:numId w:val="1"/>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营业执照</w:t>
            </w:r>
          </w:p>
          <w:p>
            <w:pPr>
              <w:keepNext w:val="0"/>
              <w:keepLines w:val="0"/>
              <w:pageBreakBefore w:val="0"/>
              <w:numPr>
                <w:ilvl w:val="0"/>
                <w:numId w:val="1"/>
              </w:numP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对外贸易经营者备案登记表</w:t>
            </w:r>
          </w:p>
        </w:tc>
        <w:tc>
          <w:tcPr>
            <w:tcW w:w="683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i w:val="0"/>
                <w:iCs w:val="0"/>
                <w:caps w:val="0"/>
                <w:color w:val="333333"/>
                <w:spacing w:val="0"/>
                <w:sz w:val="21"/>
                <w:szCs w:val="21"/>
                <w:shd w:val="clear" w:fill="FFFFFF"/>
              </w:rPr>
              <w:t>《中华人民共和国对外贸易法》第九条　从事货物进出口或者技术进出口的对外贸易经营者,应当向国务院对外贸易主管部门或者其委托的机构办理备案登记；但是,法律、行政法规和国务院对外贸易主管部门规定不需要备案登记的除外。备案登记的具体办法由国务院对外贸易主管部门规定。对外贸易经营者未按照规定办理备案登记的,海关不予办理进出口货物的报关验放手续。</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5" w:hRule="atLeast"/>
        </w:trPr>
        <w:tc>
          <w:tcPr>
            <w:tcW w:w="743"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12</w:t>
            </w:r>
          </w:p>
        </w:tc>
        <w:tc>
          <w:tcPr>
            <w:tcW w:w="1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汝州市商务局</w:t>
            </w:r>
          </w:p>
        </w:tc>
        <w:tc>
          <w:tcPr>
            <w:tcW w:w="1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i w:val="0"/>
                <w:iCs w:val="0"/>
                <w:color w:val="000000"/>
                <w:kern w:val="0"/>
                <w:sz w:val="21"/>
                <w:szCs w:val="21"/>
                <w:u w:val="none"/>
                <w:lang w:val="en-US" w:eastAsia="zh-CN" w:bidi="ar"/>
              </w:rPr>
              <w:t>对外贸易经营者备案变更登记</w:t>
            </w:r>
          </w:p>
        </w:tc>
        <w:tc>
          <w:tcPr>
            <w:tcW w:w="176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1、营业执照</w:t>
            </w:r>
          </w:p>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2、对外贸易经营者备案登记表</w:t>
            </w:r>
          </w:p>
        </w:tc>
        <w:tc>
          <w:tcPr>
            <w:tcW w:w="683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i w:val="0"/>
                <w:iCs w:val="0"/>
                <w:caps w:val="0"/>
                <w:color w:val="333333"/>
                <w:spacing w:val="0"/>
                <w:sz w:val="21"/>
                <w:szCs w:val="21"/>
                <w:shd w:val="clear" w:fill="FFFFFF"/>
              </w:rPr>
              <w:t>《中华人民共和国对外贸易法》第九条　从事货物进出口或者技术进出口的对外贸易经营者,应当向国务院对外贸易主管部门或者其委托的机构办理备案登记；但是,法律、行政法规和国务院对外贸易主管部门规定不需要备案登记的除外。备案登记的具体办法由国务院对外贸易主管部门规定。对外贸易经营者未按照规定办理备案登记的,海关不予办理进出口货物的报关验放手续。</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3"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13</w:t>
            </w:r>
          </w:p>
        </w:tc>
        <w:tc>
          <w:tcPr>
            <w:tcW w:w="1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汝州市商务局</w:t>
            </w:r>
          </w:p>
        </w:tc>
        <w:tc>
          <w:tcPr>
            <w:tcW w:w="1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其他发卡企业备案登记</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营业执照</w:t>
            </w:r>
          </w:p>
        </w:tc>
        <w:tc>
          <w:tcPr>
            <w:tcW w:w="683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《单用途商业预付卡管理办法（试行）》 第七条发卡企业应在开展单用途卡业务之日起 30 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43"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14</w:t>
            </w:r>
          </w:p>
        </w:tc>
        <w:tc>
          <w:tcPr>
            <w:tcW w:w="1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汝州市商务局</w:t>
            </w:r>
          </w:p>
        </w:tc>
        <w:tc>
          <w:tcPr>
            <w:tcW w:w="170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汽车销售企业信息备案</w:t>
            </w:r>
          </w:p>
        </w:tc>
        <w:tc>
          <w:tcPr>
            <w:tcW w:w="176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营业执照</w:t>
            </w:r>
          </w:p>
        </w:tc>
        <w:tc>
          <w:tcPr>
            <w:tcW w:w="6834"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《汽车销售管理办法》 第二十七条 供应商、经销商应当自取得营业执照之日起90日内通过国务院商务主管部门全国汽车流通信息管理系统备案基本信息。供应商、经销商备案的基本信息发生变更的，应当自信息变更之日起30日内完成信息更新。</w:t>
            </w:r>
            <w:bookmarkStart w:id="0" w:name="_GoBack"/>
            <w:bookmarkEnd w:id="0"/>
          </w:p>
        </w:tc>
        <w:tc>
          <w:tcPr>
            <w:tcW w:w="1200" w:type="dxa"/>
            <w:noWrap w:val="0"/>
            <w:vAlign w:val="center"/>
          </w:tcPr>
          <w:p>
            <w:pPr>
              <w:keepNext w:val="0"/>
              <w:keepLines w:val="0"/>
              <w:pageBreakBefore w:val="0"/>
              <w:kinsoku/>
              <w:wordWrap/>
              <w:overflowPunct/>
              <w:topLinePunct w:val="0"/>
              <w:autoSpaceDE/>
              <w:autoSpaceDN/>
              <w:bidi w:val="0"/>
              <w:adjustRightInd/>
              <w:snapToGrid/>
              <w:spacing w:line="597" w:lineRule="exact"/>
              <w:jc w:val="center"/>
              <w:textAlignment w:val="auto"/>
              <w:rPr>
                <w:rFonts w:hint="eastAsia" w:asciiTheme="minorEastAsia" w:hAnsiTheme="minorEastAsia" w:eastAsiaTheme="minorEastAsia" w:cstheme="minorEastAsia"/>
                <w:sz w:val="21"/>
                <w:szCs w:val="21"/>
                <w:vertAlign w:val="baseline"/>
                <w:lang w:val="en-US" w:eastAsia="zh-CN"/>
              </w:rPr>
            </w:pPr>
          </w:p>
        </w:tc>
      </w:tr>
    </w:tbl>
    <w:p>
      <w:pPr>
        <w:jc w:val="both"/>
        <w:rPr>
          <w:rFonts w:hint="eastAsia" w:asciiTheme="minorEastAsia" w:hAnsiTheme="minorEastAsia" w:eastAsiaTheme="minorEastAsia" w:cstheme="minorEastAsia"/>
          <w:sz w:val="21"/>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6452D"/>
    <w:multiLevelType w:val="singleLevel"/>
    <w:tmpl w:val="57D645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jNDI1NWM1YTM2ZjRlNDAyZjMxYzQyYjQ3Y2Y1MzQifQ=="/>
  </w:docVars>
  <w:rsids>
    <w:rsidRoot w:val="2D9A479B"/>
    <w:rsid w:val="2D9A47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2022-09-22T09:34:00Z</dcterms:created>
  <dc:creator>Administrator</dc:creator>
  <cp:lastModifiedBy>Administrator</cp:lastModifiedBy>
  <dcterms:modified xsi:type="dcterms:W3CDTF">2022-09-22T09:55:27Z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912F88747DF94C75B5B585304D13C12E</vt:lpwstr>
  </property>
</Properties>
</file>