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成品油零售经营企业投资主体变更（初审）服务指南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pStyle w:val="5"/>
        <w:ind w:left="0" w:leftChars="0" w:firstLine="0" w:firstLineChars="0"/>
        <w:jc w:val="both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成品油零售经营企业投资主体变更（初审）服务指南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005507281XK57326007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成品油零售经营企业投资主体变更（初审）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加油站企业发展诚信经营，符合申请条件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60"/>
        <w:gridCol w:w="1305"/>
        <w:gridCol w:w="555"/>
        <w:gridCol w:w="114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成品油零售经营资格批准证书正副本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县级商务部门关于新企业申请经营资格的初审文件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成品油经营批准证书变更登记表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XX市商务局关于XX公司进行XX业务的请示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新企业经营资格申请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成品油零售企业经营资格申请表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土地使用证或不动产权证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具有法律效应的产权转让手续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与具备条件的成品油批发企业签订的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3年以上供油协议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市级商务部门同意投资主体发生变化的批复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消防、安全生产等专业技术人员的资格证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5"/>
        <w:numPr>
          <w:ilvl w:val="0"/>
          <w:numId w:val="2"/>
        </w:numPr>
        <w:spacing w:before="156" w:beforeLines="50" w:after="156" w:afterLines="50"/>
        <w:ind w:left="0" w:leftChars="0" w:firstLine="0" w:firstLineChars="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A340D1"/>
    <w:multiLevelType w:val="singleLevel"/>
    <w:tmpl w:val="41A340D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DB32B7E"/>
    <w:rsid w:val="0EE71A78"/>
    <w:rsid w:val="474A5580"/>
    <w:rsid w:val="5F4C12E0"/>
    <w:rsid w:val="7DB90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2021-09-07T08:30:02Z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38F73ED4A57A409F8F86196383880129</vt:lpwstr>
  </property>
</Properties>
</file>