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汝州市市市场监督管理局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以案释法典型案例一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汝州市XX钢材有限公司销售冒用他人厂名、厂址的钢材案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  <w:t>【案情简介】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2021年5月13日，我局接相关线索“《汝州新闻内参》2021年第1期汝州市一房产项目疑使用‘假冒’钢筋”一事，报部门负责人同意后立案调查。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  <w:t>【调查与处理】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经调查确认：当事人汝州市XX钢材有限公司与河南XX建设工程有限公司（施工方）签订合同编号：RZCW20191112的钢材供货合同后，开始供应施工方承建的汝州市XX建设项目1#2#7#门卫室及地下车库工程项目钢筋。2021年4月7日当事人应施工方要求配送河南XX钢铁（集团）有限公司生产的热轧带肋钢筋HRB400E规格Ф18mm螺纹钢11件（24.618吨，单价：4680元/吨，合计：115212.24元），为满足数量要求，在济钢数量不足也未告知施工方的情况下擅自夹杂7件（13.86吨）非济钢生产的上述型号的钢材，并挂上河南济源钢铁（集团）有限公司的铭牌送到了施工工地。施工方对该批钢材进行验收，并以河南XX钢铁（集团）有限公司名誉记入台账，2021年4月8日汝州市XX实业有限公司对该批次热轧带肋钢筋HRB400E规格Ф18mm委托汝州市XX建筑工程质量检测有限公司进行了检测，4月9日汝州市XX建筑工程质量检测有限公司出具了报告编号：GJ2021-04-00113的钢筋检测报告，报告显示：生产厂家“河南XX钢铁（集团）有限公司”，检测结论“所检项目符合GB/T 1499.2-2018标准中HRB400E的技术要求”。在使用的过程中有记者到工地调查使用“假冒”知名钢筋厂家产品的情况时，施工方才知道此事，经其排查发现共有13.86吨XX钢铁集团有限公司生产的钢筋冒用了“河南XX钢铁（集团）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有限公司”的厂名、厂址，另查明该批次钢筋进价4600元/吨，合同价4680元/吨，货值金额64864.8元，违法所得为1108.8元。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  <w:t>【法律分析】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案中当事人汝州市XX钢材有限公司销售冒用他人厂名、厂址的钢材的行为违反了《中华人民共和国产品质量法》第三十七条第一款第三项的规定，至查获时，涉事产品已销售，施工方已使用完，涉案批次钢筋经检验合格，综合当事人的违法事实、性质、危害后果，认定其为一般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《中华人民共和国产品质量法》第五十三条的规定，参照《河南省市场监督管理行政处罚裁量基准规定及基准（2020年版）》第八章《中华人民共和国产品质量法》第五十三条裁量标准（二）之标准。决定对当事人行政处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1、没收违法所得1108.8元，上缴国库；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2.处货值金额64864.8元35%的罚款22702.68元，上缴国库。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bidi="ar"/>
        </w:rPr>
        <w:t>【典型意义】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该案件的办理有效打击了制造、销售假冒伪劣钢材的行为，规范了市场秩序，强化市场管理，确保了产品质量，打击制售假冒伪劣商品，是实施商标战略的必然要求，是加大执法力度的重要方式,是改善投资环境、营造创新环境的重要举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2.该案件的办理强化了对流通领域钢材经营户的监督教育，切实保护消费者的合法权益不受侵害。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80" w:firstLineChars="14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480" w:firstLineChars="14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汝州市市场监督管理局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0" w:firstLineChars="15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2022年9月5日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MDNmODFjZDhlMTcwYjZlNDMyM2ZjZWNjYTViMDAifQ=="/>
  </w:docVars>
  <w:rsids>
    <w:rsidRoot w:val="00000000"/>
    <w:rsid w:val="0896666F"/>
    <w:rsid w:val="0B123A20"/>
    <w:rsid w:val="0DB57DB2"/>
    <w:rsid w:val="11110AD0"/>
    <w:rsid w:val="1BC10020"/>
    <w:rsid w:val="1C430AC0"/>
    <w:rsid w:val="1C5503E6"/>
    <w:rsid w:val="22C1791B"/>
    <w:rsid w:val="24EF071A"/>
    <w:rsid w:val="39D24162"/>
    <w:rsid w:val="3F43263A"/>
    <w:rsid w:val="4C777E74"/>
    <w:rsid w:val="5EAC1FB8"/>
    <w:rsid w:val="6171237D"/>
    <w:rsid w:val="6DE75B6B"/>
    <w:rsid w:val="722335A7"/>
    <w:rsid w:val="783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220"/>
    </w:pPr>
    <w:rPr>
      <w:rFonts w:ascii="宋体" w:hAnsi="宋体" w:eastAsia="宋体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1102</Words>
  <Characters>1268</Characters>
  <Lines>0</Lines>
  <Paragraphs>0</Paragraphs>
  <TotalTime>1</TotalTime>
  <ScaleCrop>false</ScaleCrop>
  <LinksUpToDate>false</LinksUpToDate>
  <CharactersWithSpaces>1269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lenovo230</dc:creator>
  <cp:lastModifiedBy>密</cp:lastModifiedBy>
  <dcterms:modified xsi:type="dcterms:W3CDTF">2022-09-06T07:50:26Z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DD1BC712954B444493FAADB3DE4AFB87</vt:lpwstr>
  </property>
</Properties>
</file>