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汝州市招商引资奖励办法</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楷体" w:hAnsi="楷体" w:eastAsia="楷体" w:cs="楷体"/>
          <w:sz w:val="32"/>
          <w:szCs w:val="32"/>
        </w:rPr>
      </w:pPr>
      <w:r>
        <w:rPr>
          <w:rFonts w:hint="eastAsia" w:ascii="楷体" w:hAnsi="楷体" w:eastAsia="楷体" w:cs="楷体"/>
          <w:sz w:val="32"/>
          <w:szCs w:val="32"/>
        </w:rPr>
        <w:t>（征求意见稿）</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第一章总 则</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为进一步提升对外开放水平，加速项目落地，持续壮 大产业规模，优化产业结构，加速产业转型升级，构建现代产业发展体系，推动我市经济高质量发展，结合工作实际，特制定本办法。</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sz w:val="32"/>
          <w:szCs w:val="32"/>
        </w:rPr>
        <w:t>本办法所指企业适用于工商注册地、税务征管关系及 统计关系在汝州范围内，有健全的财务制度、具有独立法人资格，在本市有纳税义务、不减少注册资本的企业或机构。</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党政机关指各乡镇、街道，市直各单位等财政供给单位。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项目第一引荐人指个人、企业或一般社会群体组织，不包括党政机关、事业单位及在编干部。</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本办法重点支持碳氢新材料、装备制造、绿色食品、生物医药、数字经济、新型建材、轻工纺织、文旅康养和汝瓷、现 代商贸等产业。引进单纯的资源开采利用、房地产开发、总部经济类项目不予奖励。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本办法适用于工业类项目固定资产投资总额达5000 万元以上，金融保险及现代服务业类项目固定资产投资总额达1000 万元以上，且年营业收入达到5000万元以上的项目。本办法中固定资产投资不包括土地出让金。</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所有引进招商项目必须符合国家产业政策，符合本市产业发展规划，具有一定的投资规模，项目投资强度、亩均税收、亩均产出符合省、市相关规定。</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第二章 对落地企业奖励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经营贡献奖励。新上项目投产后给予企业项目建设、技术改造、安全生产、环境保护、科技创新、质量品牌建设及人才培养等支持。前三年按对市财政贡献，参照企业所缴增值税和所得 税市级实得部分的80%标准支持，第四年、第五年按照50%的标准支持。</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第七条 </w:t>
      </w:r>
      <w:r>
        <w:rPr>
          <w:rFonts w:hint="eastAsia" w:ascii="仿宋" w:hAnsi="仿宋" w:eastAsia="仿宋" w:cs="仿宋"/>
          <w:sz w:val="32"/>
          <w:szCs w:val="32"/>
        </w:rPr>
        <w:t>固定资产投资奖励。</w:t>
      </w:r>
      <w:r>
        <w:rPr>
          <w:rFonts w:hint="eastAsia" w:ascii="仿宋" w:hAnsi="仿宋" w:eastAsia="仿宋" w:cs="仿宋"/>
          <w:spacing w:val="-20"/>
          <w:sz w:val="32"/>
          <w:szCs w:val="32"/>
        </w:rPr>
        <w:t>凡符合汝州主导产业发展规划</w:t>
      </w:r>
      <w:r>
        <w:rPr>
          <w:rFonts w:hint="eastAsia" w:ascii="仿宋" w:hAnsi="仿宋" w:eastAsia="仿宋" w:cs="仿宋"/>
          <w:sz w:val="32"/>
          <w:szCs w:val="32"/>
        </w:rPr>
        <w:t>，投产达效五年内任意连续三年平均每年每亩创税达到18万元以上 的，固定资产一次性投资5000万元至1亿元的新建工业项目，按 固定资产投资额的1.5%给予一次性奖励；1亿元以上的新建工业项目，按固定资产投资额的2%给予一次性奖励。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第八条 </w:t>
      </w:r>
      <w:r>
        <w:rPr>
          <w:rFonts w:hint="eastAsia" w:ascii="仿宋" w:hAnsi="仿宋" w:eastAsia="仿宋" w:cs="仿宋"/>
          <w:sz w:val="32"/>
          <w:szCs w:val="32"/>
        </w:rPr>
        <w:t>厂房租赁奖励。入驻汝州经济技术开发区标准化厂房的，对租用现有厂房且每平方米税收强度达到《河南省人民政府办公厅关于实施河南省开发区标准体系及基准值(试行)的通知》(豫 政办〔2022〕43号)要求的基准值以上的工业项目，前三年奖励按照企业每年所交厂房租金全额奖励给企业，第四年、第五年按租金的50%奖励。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第九条 </w:t>
      </w:r>
      <w:r>
        <w:rPr>
          <w:rFonts w:hint="eastAsia" w:ascii="仿宋" w:hAnsi="仿宋" w:eastAsia="仿宋" w:cs="仿宋"/>
          <w:sz w:val="32"/>
          <w:szCs w:val="32"/>
        </w:rPr>
        <w:t>重大项目支持。固定资产投资在5亿元以上的特别重大工业项目，以及国家高新技术企业、世界企业500强、中国企业 500强和中国民营企业500强在汝州投资符合国家产业政策的工业项目，采取“一事一议”的办法，给予特殊奖补。</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第三章 对党政机关奖励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第十条 </w:t>
      </w:r>
      <w:r>
        <w:rPr>
          <w:rFonts w:hint="eastAsia" w:ascii="仿宋" w:hAnsi="仿宋" w:eastAsia="仿宋" w:cs="仿宋"/>
          <w:sz w:val="32"/>
          <w:szCs w:val="32"/>
        </w:rPr>
        <w:t>鼓励全市党政机关参与招商引资工作，按照招引项目进度予以奖励。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项目手续办理阶段。以企业土地出让金缴纳为奖励标准，项目 自土地正式挂牌并足额缴纳土地出让金，按实际缴纳土地出让金的5‰奖励给引资单位。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项目投资建设阶段。以实际到位固定资产为奖励标准。自项目正式开工建设，达到合同约定投资强度、建设内容、建设周期等要求，两年内按照项目实际到位资金形成固定资产投资的1%奖励给 引资单位，原则上奖励申请不得超过2次，累计最高奖励不超过200万元。已申请获得奖励的固定资产投资部分不得重复申请。</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项目投产达效阶段。以企业税收贡献为奖励标准。对纳入规模以上企业名录库的招商项目</w:t>
      </w:r>
      <w:r>
        <w:rPr>
          <w:rFonts w:hint="eastAsia" w:ascii="仿宋" w:hAnsi="仿宋" w:eastAsia="仿宋" w:cs="仿宋"/>
          <w:sz w:val="32"/>
          <w:szCs w:val="32"/>
          <w:lang w:eastAsia="zh-CN"/>
        </w:rPr>
        <w:t>，</w:t>
      </w:r>
      <w:r>
        <w:rPr>
          <w:rFonts w:hint="eastAsia" w:ascii="仿宋" w:hAnsi="仿宋" w:eastAsia="仿宋" w:cs="仿宋"/>
          <w:sz w:val="32"/>
          <w:szCs w:val="32"/>
        </w:rPr>
        <w:t>引资单位享受以下奖励政策，奖励资金每半年结算一次。自项目正式投产首次纳税之日起三年内，对碳氢新材料、装备制造主导产业，按企业所缴增值税和所得税市级实 得部分的20%奖励给引资单位，单个项目每年最高奖励200万元，三年累计最高奖励不超过500万元；绿色食品、生物医药、新型建材、轻工纺织、文旅康养和汝瓷、数字经济、现代商贸等其他产业，按企业所缴增值税和所得税市级实得部分的10%奖励给引资单位，单个项目每年最高奖励100万元，三年累计最高奖励不超过300万 元。对我市范围内异地落地的项目，项目引进单位和项目落地单位按发挥作用大小分成。</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奖金使用。奖金部分主要用于获奖单位招商工作经费、单位办公经费、政策性规定的个人奖金奖励支付。</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第四章对项目第一 引荐人奖励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奖励适用。项目第一引荐人为一般社会群体组织、企业或个人的，按照项目实际进展情况进行奖励。项目第一引荐单 位为党政机关、事业单位的，参照第三章对党政机关奖励执行；项 目第一引荐人为党政机关、事业单位在编干部的，予以记功表彰，优先提拔重用，不再进行资金奖励。</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第十三条 </w:t>
      </w:r>
      <w:r>
        <w:rPr>
          <w:rFonts w:hint="eastAsia" w:ascii="仿宋" w:hAnsi="仿宋" w:eastAsia="仿宋" w:cs="仿宋"/>
          <w:sz w:val="32"/>
          <w:szCs w:val="32"/>
        </w:rPr>
        <w:t>奖励标准：引进固定资产投资额在20亿元以上的项目，奖励100万元；10亿元以上的，奖励50万元；5亿元以上</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r>
        <w:rPr>
          <w:rFonts w:hint="eastAsia" w:ascii="仿宋" w:hAnsi="仿宋" w:eastAsia="仿宋" w:cs="仿宋"/>
          <w:sz w:val="32"/>
          <w:szCs w:val="32"/>
        </w:rPr>
        <w:t>的，奖励30万元；2亿元以上的，奖励20万元；1亿元以上的，</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bookmarkStart w:id="0" w:name="_GoBack"/>
      <w:bookmarkEnd w:id="0"/>
      <w:r>
        <w:rPr>
          <w:rFonts w:hint="eastAsia" w:ascii="仿宋" w:hAnsi="仿宋" w:eastAsia="仿宋" w:cs="仿宋"/>
          <w:sz w:val="32"/>
          <w:szCs w:val="32"/>
        </w:rPr>
        <w:t>奖励10万元；5000万元以上的，奖励5万元。引进项目是世界500强企业投资的另外奖励30万元，是国内500强企业投资的另外奖励20万元，是行业排名全国前20强企业投资的另外奖励10万元。引进项目为科技含量高、税收贡献大的轻资产企业采取“一事一议”原则另行奖励。</w:t>
      </w: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黑体" w:hAnsi="黑体" w:eastAsia="黑体" w:cs="黑体"/>
          <w:sz w:val="32"/>
          <w:szCs w:val="32"/>
        </w:rPr>
      </w:pPr>
      <w:r>
        <w:rPr>
          <w:rFonts w:hint="eastAsia" w:ascii="黑体" w:hAnsi="黑体" w:eastAsia="黑体" w:cs="黑体"/>
          <w:sz w:val="32"/>
          <w:szCs w:val="32"/>
        </w:rPr>
        <w:t>第五章 附  则</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本办法所规定的奖励扶持资金的申报或兑现由市招商引资工作领导小组办公室牵头负责。由市发展改革委、财政局、自然资源和规划局、商务局、审计局、税务局等部门组成考核小组，对项目投入资金、建设、纳税等情况进行考核后，提出初步意见，报市政府研究同意后落实。</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eastAsia" w:ascii="仿宋" w:hAnsi="仿宋" w:eastAsia="仿宋" w:cs="仿宋"/>
          <w:sz w:val="32"/>
          <w:szCs w:val="32"/>
        </w:rPr>
      </w:pPr>
      <w:r>
        <w:rPr>
          <w:rFonts w:hint="eastAsia" w:ascii="仿宋" w:hAnsi="仿宋" w:eastAsia="仿宋" w:cs="仿宋"/>
          <w:sz w:val="32"/>
          <w:szCs w:val="32"/>
        </w:rPr>
        <w:t>符合本办法规定的同一项目、同一事项同时符合我市多项奖励 扶持政策规定的，按照就高不重复的原则予以奖励，另有规定的除 外。对适用于本办法进行奖励的项目不再按照《汝州市乡镇(街道)财政管理办法》(汝政办〔2021〕37号)执行。</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奖励申报单位对申报材料真实性负责。项目投资方必须依照国家有关法律法规完善相关手续，严禁擅自改变土地用途和设计规划，否则依法取消投资方所有优惠政策，直至依法收回土地，退还优惠政策补助资金并承担相应法律责任。党政机关单位和项目第一引荐人弄虚作假、伪造招商项目骗取奖励的，除取消奖励外，还要追究当事人的行政责任和相关法律责任。</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本市企业新投资项目(含外商投资项目),参照本办法执行。涉及相关政策及兑现不溯及既往。此前下发涉及招商引资政策相关文件规定与本办法相冲突的，以本办法为准。本办法与现行法律法规政策相冲突的，以现行法律法规政策为准。本办法自印发之日起施行。</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3" w:firstLineChars="200"/>
        <w:textAlignment w:val="baseline"/>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本办法由市招商引资对外开放领导小组办公室负责解释。</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仿宋" w:hAnsi="仿宋" w:eastAsia="仿宋" w:cs="仿宋"/>
          <w:sz w:val="32"/>
          <w:szCs w:val="32"/>
        </w:rPr>
      </w:pPr>
    </w:p>
    <w:sectPr>
      <w:footerReference r:id="rId5" w:type="default"/>
      <w:pgSz w:w="11900" w:h="16830"/>
      <w:pgMar w:top="1430" w:right="1340" w:bottom="400" w:left="160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jFiMTMxNmEwYTdmOTA2OWQwYWVlYjQ0MzYyNmYwYzQifQ=="/>
  </w:docVars>
  <w:rsids>
    <w:rsidRoot w:val="00000000"/>
    <w:rsid w:val="3B667B1E"/>
    <w:rsid w:val="681B10AD"/>
    <w:rsid w:val="74EC75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5</Pages>
  <Words>2491</Words>
  <Characters>2563</Characters>
  <TotalTime>7</TotalTime>
  <ScaleCrop>false</ScaleCrop>
  <LinksUpToDate>false</LinksUpToDate>
  <CharactersWithSpaces>2608</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2023-04-10T11:40:00Z</dcterms:created>
  <dc:creator>Kingsoft-PDF</dc:creator>
  <cp:lastModifiedBy>静</cp:lastModifiedBy>
  <dcterms:modified xsi:type="dcterms:W3CDTF">2023-04-25T07:37:16Z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2023-04-10T11:40:14Z</vt:filetime>
  </property>
  <property fmtid="{D5CDD505-2E9C-101B-9397-08002B2CF9AE}" pid="4" name="UsrData">
    <vt:lpwstr>643385130c8b2900150415a1</vt:lpwstr>
  </property>
  <property fmtid="{D5CDD505-2E9C-101B-9397-08002B2CF9AE}" pid="5" name="KSOProductBuildVer">
    <vt:lpwstr>2052-11.1.0.14036</vt:lpwstr>
  </property>
  <property fmtid="{D5CDD505-2E9C-101B-9397-08002B2CF9AE}" pid="6" name="ICV">
    <vt:lpwstr>576D8EE7E904471C88E51E6097B29F08_12</vt:lpwstr>
  </property>
</Properties>
</file>