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6BFF3A">
      <w:pPr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eastAsia="zh-CN"/>
        </w:rPr>
        <w:t>上半年汝州市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t>主要经济指标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eastAsia="zh-CN"/>
        </w:rPr>
        <w:t>完成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t>情况</w:t>
      </w:r>
    </w:p>
    <w:p w14:paraId="7923B312">
      <w:pPr>
        <w:ind w:firstLine="640" w:firstLineChars="200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上半年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，全市实现地区生产总值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260.34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亿元，按不变价格计算，同比增长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3.2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%。分产业看，第一产业增加值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14.66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亿元，同比增长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3.4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%；第二产业增加值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90.48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亿元，同比增长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2.8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%；第三产业增加值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155.20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亿元，同比增长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3.4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 xml:space="preserve">%。 </w:t>
      </w:r>
    </w:p>
    <w:p w14:paraId="066F05EC">
      <w:pPr>
        <w:ind w:firstLine="640" w:firstLineChars="200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上半年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，全市规模以上工业增加值同比增长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1.3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%。其中，采矿业增加值同比增长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3.0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%，制造业增加值同比增长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2.7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%，电力、热力、燃气及水生产和供应业增加值同比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下降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13.1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%。</w:t>
      </w:r>
    </w:p>
    <w:p w14:paraId="4F7320C2">
      <w:pPr>
        <w:ind w:firstLine="640" w:firstLineChars="200"/>
        <w:rPr>
          <w:rFonts w:hint="eastAsia" w:ascii="Times New Roman" w:hAnsi="Times New Roman" w:eastAsia="仿宋_GB2312" w:cs="Times New Roman"/>
          <w:snapToGrid w:val="0"/>
          <w:color w:val="auto"/>
          <w:spacing w:val="8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上半年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，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全市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固定资产投资同比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下降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3.5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%。其中，</w:t>
      </w:r>
      <w:r>
        <w:rPr>
          <w:rFonts w:hint="default" w:ascii="Times New Roman" w:hAnsi="Times New Roman" w:eastAsia="仿宋_GB2312" w:cs="Times New Roman"/>
          <w:snapToGrid w:val="0"/>
          <w:color w:val="auto"/>
          <w:spacing w:val="8"/>
          <w:kern w:val="0"/>
          <w:sz w:val="32"/>
          <w:szCs w:val="32"/>
          <w:lang w:val="en-US" w:eastAsia="zh-CN" w:bidi="ar-SA"/>
        </w:rPr>
        <w:t>基础设施投资</w:t>
      </w:r>
      <w:r>
        <w:rPr>
          <w:rFonts w:hint="eastAsia" w:ascii="Times New Roman" w:hAnsi="Times New Roman" w:eastAsia="仿宋_GB2312" w:cs="Times New Roman"/>
          <w:snapToGrid w:val="0"/>
          <w:color w:val="auto"/>
          <w:spacing w:val="8"/>
          <w:kern w:val="0"/>
          <w:sz w:val="32"/>
          <w:szCs w:val="32"/>
          <w:lang w:val="en-US" w:eastAsia="zh-CN" w:bidi="ar-SA"/>
        </w:rPr>
        <w:t>同比</w:t>
      </w:r>
      <w:r>
        <w:rPr>
          <w:rFonts w:hint="default" w:ascii="Times New Roman" w:hAnsi="Times New Roman" w:eastAsia="仿宋_GB2312" w:cs="Times New Roman"/>
          <w:snapToGrid w:val="0"/>
          <w:color w:val="auto"/>
          <w:spacing w:val="8"/>
          <w:kern w:val="0"/>
          <w:sz w:val="32"/>
          <w:szCs w:val="32"/>
          <w:lang w:val="en-US" w:eastAsia="zh-CN" w:bidi="ar-SA"/>
        </w:rPr>
        <w:t>增长</w:t>
      </w:r>
      <w:r>
        <w:rPr>
          <w:rFonts w:hint="eastAsia" w:ascii="Times New Roman" w:hAnsi="Times New Roman" w:eastAsia="仿宋_GB2312" w:cs="Times New Roman"/>
          <w:snapToGrid w:val="0"/>
          <w:color w:val="auto"/>
          <w:spacing w:val="8"/>
          <w:kern w:val="0"/>
          <w:sz w:val="32"/>
          <w:szCs w:val="32"/>
          <w:lang w:val="en-US" w:eastAsia="zh-CN" w:bidi="ar-SA"/>
        </w:rPr>
        <w:t>58.5</w:t>
      </w:r>
      <w:r>
        <w:rPr>
          <w:rFonts w:hint="default" w:ascii="Times New Roman" w:hAnsi="Times New Roman" w:eastAsia="仿宋_GB2312" w:cs="Times New Roman"/>
          <w:snapToGrid w:val="0"/>
          <w:color w:val="auto"/>
          <w:spacing w:val="8"/>
          <w:kern w:val="0"/>
          <w:sz w:val="32"/>
          <w:szCs w:val="32"/>
          <w:lang w:val="en-US" w:eastAsia="zh-CN" w:bidi="ar-SA"/>
        </w:rPr>
        <w:t>%，民间投资</w:t>
      </w:r>
      <w:r>
        <w:rPr>
          <w:rFonts w:hint="eastAsia" w:ascii="Times New Roman" w:hAnsi="Times New Roman" w:eastAsia="仿宋_GB2312" w:cs="Times New Roman"/>
          <w:snapToGrid w:val="0"/>
          <w:color w:val="auto"/>
          <w:spacing w:val="8"/>
          <w:kern w:val="0"/>
          <w:sz w:val="32"/>
          <w:szCs w:val="32"/>
          <w:lang w:val="en-US" w:eastAsia="zh-CN" w:bidi="ar-SA"/>
        </w:rPr>
        <w:t>同比下降15.1</w:t>
      </w:r>
      <w:r>
        <w:rPr>
          <w:rFonts w:hint="default" w:ascii="Times New Roman" w:hAnsi="Times New Roman" w:eastAsia="仿宋_GB2312" w:cs="Times New Roman"/>
          <w:snapToGrid w:val="0"/>
          <w:color w:val="auto"/>
          <w:spacing w:val="8"/>
          <w:kern w:val="0"/>
          <w:sz w:val="32"/>
          <w:szCs w:val="32"/>
          <w:lang w:val="en-US" w:eastAsia="zh-CN" w:bidi="ar-SA"/>
        </w:rPr>
        <w:t>%</w:t>
      </w:r>
      <w:r>
        <w:rPr>
          <w:rFonts w:hint="eastAsia" w:ascii="Times New Roman" w:hAnsi="Times New Roman" w:eastAsia="仿宋_GB2312" w:cs="Times New Roman"/>
          <w:snapToGrid w:val="0"/>
          <w:color w:val="auto"/>
          <w:spacing w:val="8"/>
          <w:kern w:val="0"/>
          <w:sz w:val="32"/>
          <w:szCs w:val="32"/>
          <w:lang w:val="en-US" w:eastAsia="zh-CN" w:bidi="ar-SA"/>
        </w:rPr>
        <w:t>，</w:t>
      </w:r>
      <w:r>
        <w:rPr>
          <w:rFonts w:hint="default" w:ascii="Times New Roman" w:hAnsi="Times New Roman" w:eastAsia="仿宋_GB2312" w:cs="Times New Roman"/>
          <w:snapToGrid w:val="0"/>
          <w:color w:val="auto"/>
          <w:spacing w:val="8"/>
          <w:kern w:val="0"/>
          <w:sz w:val="32"/>
          <w:szCs w:val="32"/>
          <w:lang w:val="en-US" w:eastAsia="zh-CN" w:bidi="ar-SA"/>
        </w:rPr>
        <w:t>房地产投资同比增长53.6%</w:t>
      </w:r>
      <w:r>
        <w:rPr>
          <w:rFonts w:hint="eastAsia" w:ascii="Times New Roman" w:hAnsi="Times New Roman" w:eastAsia="仿宋_GB2312" w:cs="Times New Roman"/>
          <w:snapToGrid w:val="0"/>
          <w:color w:val="auto"/>
          <w:spacing w:val="8"/>
          <w:kern w:val="0"/>
          <w:sz w:val="32"/>
          <w:szCs w:val="32"/>
          <w:lang w:val="en-US" w:eastAsia="zh-CN" w:bidi="ar-SA"/>
        </w:rPr>
        <w:t>。</w:t>
      </w:r>
    </w:p>
    <w:p w14:paraId="7689D551"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 xml:space="preserve"> 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上半年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，社会消费品零售总额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完成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129.56亿元，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同比下降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3.1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%。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097829"/>
    <w:rsid w:val="026B4187"/>
    <w:rsid w:val="05F467BE"/>
    <w:rsid w:val="06A27213"/>
    <w:rsid w:val="09524F20"/>
    <w:rsid w:val="11902A8A"/>
    <w:rsid w:val="18E35B95"/>
    <w:rsid w:val="20823EE5"/>
    <w:rsid w:val="215D04AF"/>
    <w:rsid w:val="231057D9"/>
    <w:rsid w:val="26097829"/>
    <w:rsid w:val="286D7229"/>
    <w:rsid w:val="2A250C5B"/>
    <w:rsid w:val="2A8D3BB3"/>
    <w:rsid w:val="2AF14141"/>
    <w:rsid w:val="2CC50820"/>
    <w:rsid w:val="2E627104"/>
    <w:rsid w:val="2ED718A0"/>
    <w:rsid w:val="32582CF8"/>
    <w:rsid w:val="37C30C14"/>
    <w:rsid w:val="3B893F22"/>
    <w:rsid w:val="442073EE"/>
    <w:rsid w:val="4F3A5808"/>
    <w:rsid w:val="51CD2963"/>
    <w:rsid w:val="53F32429"/>
    <w:rsid w:val="56F97D56"/>
    <w:rsid w:val="59505C28"/>
    <w:rsid w:val="5B7B51DE"/>
    <w:rsid w:val="5BCA7F13"/>
    <w:rsid w:val="5D972077"/>
    <w:rsid w:val="5E385608"/>
    <w:rsid w:val="683230C8"/>
    <w:rsid w:val="6D67188D"/>
    <w:rsid w:val="6F767D3E"/>
    <w:rsid w:val="765468FF"/>
    <w:rsid w:val="77C56C4E"/>
    <w:rsid w:val="7C9B7036"/>
    <w:rsid w:val="7D086EE9"/>
    <w:rsid w:val="7D4E2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cb601774-11b4-4d8b-85fe-26ffa1bdb20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256</Words>
  <Characters>322</Characters>
  <Lines>0</Lines>
  <Paragraphs>0</Paragraphs>
  <TotalTime>17</TotalTime>
  <ScaleCrop>false</ScaleCrop>
  <LinksUpToDate>false</LinksUpToDate>
  <CharactersWithSpaces>324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2026-04-27T00:56:00Z</dcterms:created>
  <dc:creator>小白鸽</dc:creator>
  <cp:lastModifiedBy>小白鸽</cp:lastModifiedBy>
  <dcterms:modified xsi:type="dcterms:W3CDTF">2026-08-31T00:03:21Z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AB955F6006914FE1B1F5FCC2ECC60D26_11</vt:lpwstr>
  </property>
  <property fmtid="{D5CDD505-2E9C-101B-9397-08002B2CF9AE}" pid="4" name="KSOTemplateDocerSaveRecord">
    <vt:lpwstr>eyJoZGlkIjoiNGQ3NjFlMDE1MTBmN2M2NzE2MzA4MmRiZDFkOTZmOWYiLCJ1c2VySWQiOiIyMjc4NjQ2MjMifQ==</vt:lpwstr>
  </property>
</Properties>
</file>