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汝州市审计局审计结果公告</w:t>
      </w:r>
    </w:p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</w:rPr>
        <w:t>汝州市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宇冠</w:t>
      </w:r>
      <w:r>
        <w:rPr>
          <w:rFonts w:hint="eastAsia" w:eastAsia="楷体_GB2312"/>
          <w:b/>
          <w:bCs/>
          <w:sz w:val="36"/>
          <w:szCs w:val="36"/>
        </w:rPr>
        <w:t>粮食购销有限公司</w:t>
      </w:r>
      <w:r>
        <w:rPr>
          <w:rFonts w:eastAsia="楷体_GB2312"/>
          <w:b/>
          <w:bCs/>
          <w:sz w:val="36"/>
          <w:szCs w:val="36"/>
        </w:rPr>
        <w:t>20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19至2021</w:t>
      </w:r>
      <w:r>
        <w:rPr>
          <w:rFonts w:eastAsia="楷体_GB2312"/>
          <w:b/>
          <w:bCs/>
          <w:sz w:val="36"/>
          <w:szCs w:val="36"/>
        </w:rPr>
        <w:t>年度</w:t>
      </w:r>
      <w:r>
        <w:rPr>
          <w:rFonts w:hint="eastAsia" w:eastAsia="楷体_GB2312"/>
          <w:b/>
          <w:bCs/>
          <w:sz w:val="36"/>
          <w:szCs w:val="36"/>
        </w:rPr>
        <w:t>财务收支情况专项审计调查</w:t>
      </w:r>
      <w:r>
        <w:rPr>
          <w:rFonts w:eastAsia="楷体_GB2312"/>
          <w:b/>
          <w:bCs/>
          <w:sz w:val="36"/>
          <w:szCs w:val="36"/>
        </w:rPr>
        <w:t>的审计结果</w:t>
      </w: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汝州市审计局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eastAsia="仿宋_GB2312" w:cs="Times New Roman"/>
          <w:sz w:val="32"/>
          <w:szCs w:val="32"/>
          <w:lang w:eastAsia="zh-CN"/>
        </w:rPr>
        <w:t>汝州市宇冠粮食购销有限公司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年度财务收支情况进行了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结果公告如下：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一、被</w:t>
      </w:r>
      <w:r>
        <w:rPr>
          <w:rFonts w:hint="eastAsia" w:eastAsia="黑体" w:cs="Times New Roman"/>
          <w:sz w:val="32"/>
          <w:szCs w:val="32"/>
          <w:lang w:val="en-US" w:eastAsia="zh-CN"/>
        </w:rPr>
        <w:t>审计调查</w:t>
      </w: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汝州市宇冠粮食有限公司属国有粮食购销企业，隶属于汝州市粮食和物资储备局，位于汝州市东10公里米庙镇米庙村，主要从事政策性粮食收购、储存等业务。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在岗职工18人，其中班子成员3名，（正职一名、副职两名）；财务人员2名，统计人员1名；保化人员12名. 占地面积48亩；仓库21座，总容37500吨，现存政策性粮食26788吨，其中：最低收购价小麦15788吨。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评价意见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审计调查结果表明：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汝州市宇冠粮食购销有限公司提供的2019年至2021年财务会计资料基本真实地反映了其财务收支状况，内控制度基本健全，经济活动基本合规，各项资金基本安全、完整。但仍存在建工程长期挂账等问题，今后应当加以纠正和改进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发现的主要问题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汝州市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宇冠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粮食购销有限公司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在建工程长期挂账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实收资本不实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应缴未缴房产税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使用大额现金支付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未计提固定资产折旧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储存年限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保管粮食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的问题。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处理情况和建议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汝州市审计局针对审计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发现的问题，已依法出具了审计报告，并提出了处理意见和整改建议，建议</w:t>
      </w:r>
      <w:r>
        <w:rPr>
          <w:rFonts w:hint="eastAsia" w:eastAsia="仿宋_GB2312" w:cs="Times New Roman"/>
          <w:sz w:val="32"/>
          <w:szCs w:val="32"/>
          <w:lang w:eastAsia="zh-CN"/>
        </w:rPr>
        <w:t>汝州市宇冠粮食购销有限公司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严格落实粮食领域相关法规政策，确保政策性粮食内控管理落到实处，完善企业内部管理制度，提高粮食管理水平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《粮油仓储管理办法》《河南省地方储备粮仓储管理暂行办法》《河南省地方储备粮质量管理暂行办法》等，加强粮食收购、储存、销售等各环节管理，降低粮食损失损耗，确保库存粮食数量真实、质量良好、储存安全、管理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严格执行《中华人民共和国会计法》等财经法规的规定，正确进行财务核算、规范会计核算行为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严格执行《基本建设项目竣工财务决算管理暂行办法》的规定，及时进行竣工财务决算，正确核定固定资产价值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发现问题的整改情况</w:t>
      </w:r>
    </w:p>
    <w:p>
      <w:pPr>
        <w:spacing w:line="560" w:lineRule="exact"/>
        <w:ind w:firstLine="640" w:firstLineChars="200"/>
        <w:rPr>
          <w:rFonts w:hint="eastAsia" w:eastAsia="仿宋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针对上述审计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发现的问题，</w:t>
      </w:r>
      <w:r>
        <w:rPr>
          <w:rFonts w:hint="eastAsia" w:eastAsia="仿宋_GB2312" w:cs="Times New Roman"/>
          <w:sz w:val="32"/>
          <w:szCs w:val="32"/>
          <w:lang w:eastAsia="zh-CN"/>
        </w:rPr>
        <w:t>汝州市宇冠粮食购销有限公司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高度重视，组织召开专题会议，对报告中提出的问题逐一研究并拿出切实可行的建议和意见，制定了整改方案。一是</w:t>
      </w:r>
      <w:r>
        <w:rPr>
          <w:rFonts w:hint="eastAsia" w:ascii="仿宋" w:hAnsi="仿宋" w:eastAsia="仿宋"/>
          <w:sz w:val="32"/>
          <w:szCs w:val="32"/>
        </w:rPr>
        <w:t>与上级相关部门及时沟通反映，编写竣工财务决算，按照国家统一的财务、会计制度的有关规定进行账务处理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二是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及时到工商部门将退还股金按照相关规定进行调整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/>
        </w:rPr>
        <w:t>并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按照国家统一的财务、会计制度的有关规定进行处理。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及时与税务部门沟通，按纳税渠道、及时足额缴纳税金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四是</w:t>
      </w:r>
      <w:r>
        <w:rPr>
          <w:rFonts w:hint="eastAsia" w:ascii="仿宋" w:hAnsi="仿宋" w:eastAsia="仿宋"/>
          <w:sz w:val="32"/>
          <w:szCs w:val="32"/>
        </w:rPr>
        <w:t>完善内部管理制度，严格按照现金开支范围和标准支用现金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超过1000元的支出已使用银行转账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/>
        </w:rPr>
        <w:t>五是</w:t>
      </w:r>
      <w:r>
        <w:rPr>
          <w:rFonts w:hint="eastAsia" w:ascii="仿宋" w:hAnsi="仿宋" w:eastAsia="仿宋"/>
          <w:sz w:val="32"/>
          <w:szCs w:val="32"/>
        </w:rPr>
        <w:t>按照国家统一的财务、会计制度的有关规定进行处理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及时计提固定资产折旧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/>
        </w:rPr>
        <w:t>六是</w:t>
      </w:r>
      <w:r>
        <w:rPr>
          <w:rFonts w:hint="eastAsia" w:ascii="仿宋" w:hAnsi="仿宋" w:eastAsia="仿宋"/>
          <w:sz w:val="32"/>
          <w:szCs w:val="32"/>
        </w:rPr>
        <w:t>及时与上级相关部门反映沟通，严格按照《粮油仓储管理办法》及相关规定执行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BlM2MyOTJkYTQ2NGE1Njk1MWRhYzQwODU0MmUifQ=="/>
  </w:docVars>
  <w:rsids>
    <w:rsidRoot w:val="001D4E2C"/>
    <w:rsid w:val="001D4E2C"/>
    <w:rsid w:val="002A369F"/>
    <w:rsid w:val="004517F1"/>
    <w:rsid w:val="004E1A0C"/>
    <w:rsid w:val="006421BC"/>
    <w:rsid w:val="13984C3B"/>
    <w:rsid w:val="2A6C47DB"/>
    <w:rsid w:val="2C3921C2"/>
    <w:rsid w:val="316E07A1"/>
    <w:rsid w:val="455633D4"/>
    <w:rsid w:val="54335620"/>
    <w:rsid w:val="6BBF7860"/>
    <w:rsid w:val="7042724F"/>
    <w:rsid w:val="764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Document Map"/>
    <w:basedOn w:val="1"/>
    <w:link w:val="7"/>
    <w:unhideWhenUsed/>
    <w:qFormat/>
    <w:uiPriority w:val="99"/>
    <w:rPr>
      <w:rFonts w:ascii="宋体"/>
      <w:sz w:val="18"/>
      <w:szCs w:val="18"/>
    </w:rPr>
  </w:style>
  <w:style w:type="paragraph" w:customStyle="1" w:styleId="6">
    <w:name w:val="Char Char Char Char"/>
    <w:basedOn w:val="3"/>
    <w:qFormat/>
    <w:uiPriority w:val="0"/>
    <w:pPr>
      <w:shd w:val="clear" w:color="auto" w:fill="000080"/>
    </w:pPr>
    <w:rPr>
      <w:rFonts w:ascii="Tahoma" w:hAnsi="Tahoma" w:eastAsia="仿宋_GB2312"/>
      <w:sz w:val="24"/>
      <w:szCs w:val="32"/>
    </w:rPr>
  </w:style>
  <w:style w:type="character" w:customStyle="1" w:styleId="7">
    <w:name w:val="文档结构图 Char"/>
    <w:basedOn w:val="5"/>
    <w:link w:val="3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1162</Words>
  <Characters>1214</Characters>
  <Lines>9</Lines>
  <Paragraphs>2</Paragraphs>
  <TotalTime>2</TotalTime>
  <ScaleCrop>false</ScaleCrop>
  <LinksUpToDate>false</LinksUpToDate>
  <CharactersWithSpaces>1215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2021-12-17T03:50:00Z</dcterms:created>
  <dc:creator>Administrator</dc:creator>
  <cp:lastModifiedBy>Administrator</cp:lastModifiedBy>
  <dcterms:modified xsi:type="dcterms:W3CDTF">2022-12-22T09:11:01Z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431E7E3CA0454E9FAD9DFFB3802B30C4</vt:lpwstr>
  </property>
</Properties>
</file>