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汝州市审计局审计结果公告</w:t>
      </w:r>
    </w:p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hint="eastAsia" w:eastAsia="楷体_GB2312"/>
          <w:b/>
          <w:bCs/>
          <w:sz w:val="36"/>
          <w:szCs w:val="36"/>
        </w:rPr>
        <w:t>汝州市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瑞丰</w:t>
      </w:r>
      <w:r>
        <w:rPr>
          <w:rFonts w:hint="eastAsia" w:eastAsia="楷体_GB2312"/>
          <w:b/>
          <w:bCs/>
          <w:sz w:val="36"/>
          <w:szCs w:val="36"/>
        </w:rPr>
        <w:t>粮食购销有限公司</w:t>
      </w:r>
      <w:r>
        <w:rPr>
          <w:rFonts w:eastAsia="楷体_GB2312"/>
          <w:b/>
          <w:bCs/>
          <w:sz w:val="36"/>
          <w:szCs w:val="36"/>
        </w:rPr>
        <w:t>20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19至2021</w:t>
      </w:r>
      <w:r>
        <w:rPr>
          <w:rFonts w:eastAsia="楷体_GB2312"/>
          <w:b/>
          <w:bCs/>
          <w:sz w:val="36"/>
          <w:szCs w:val="36"/>
        </w:rPr>
        <w:t>年度</w:t>
      </w:r>
      <w:r>
        <w:rPr>
          <w:rFonts w:hint="eastAsia" w:eastAsia="楷体_GB2312"/>
          <w:b/>
          <w:bCs/>
          <w:sz w:val="36"/>
          <w:szCs w:val="36"/>
        </w:rPr>
        <w:t>财务收支情况专项审计调查</w:t>
      </w:r>
      <w:r>
        <w:rPr>
          <w:rFonts w:eastAsia="楷体_GB2312"/>
          <w:b/>
          <w:bCs/>
          <w:sz w:val="36"/>
          <w:szCs w:val="36"/>
        </w:rPr>
        <w:t>的审计结果</w:t>
      </w: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汝州市审计局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eastAsia="仿宋_GB2312" w:cs="Times New Roman"/>
          <w:sz w:val="32"/>
          <w:szCs w:val="32"/>
          <w:lang w:eastAsia="zh-CN"/>
        </w:rPr>
        <w:t>汝州市瑞丰粮食购销有限公司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年度财务收支情况进行了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结果公告如下：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一、被</w:t>
      </w:r>
      <w:r>
        <w:rPr>
          <w:rFonts w:hint="eastAsia" w:eastAsia="黑体" w:cs="Times New Roman"/>
          <w:sz w:val="32"/>
          <w:szCs w:val="32"/>
          <w:lang w:val="en-US" w:eastAsia="zh-CN"/>
        </w:rPr>
        <w:t>审计调查</w:t>
      </w: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汝州市瑞丰粮食购销有限公司属国有粮食购销企业，成立于1956年，隶属于汝州市粮食和物资储备局，其前身为汝州市小屯粮库，2005年国有粮食体制改革被命名为汝州市瑞丰粮食购销有限公司，注册资金93万元。现有在职人员20人，其中大中专以上学历9人，中高级职称专业人员8人。公司位于汝州市小屯镇时屯村，东临焦枝铁路小屯车站，北临宁洛高速公路，南临207国道，交通便利，地理位置优越。库区占地面积40余亩，现有仓库20座，仓容量9050万吨。库区安装有50吨电子衡一台，各种仓储机械设备20余台。目前，现实存粮食4656吨，其中：最低收购价粮食3384吨，地方储备粮1272吨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评价意见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审计调查结果表明：汝州市瑞丰粮食购销有限公司提供的2019年至2021年财务会计资料基本真实地反映了其财务收支状况，内控制度基本健全，经济活动基本合规，各项资金基本安全、完整。但仍存在升溢粮与损耗粮相抵扣等问题，今后应当加以纠正和改进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发现的主要问题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汝州市瑞丰粮食购销有限公司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19至2021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升溢粮与损耗粮相抵扣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使用大额现金支付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未计提固定资产折旧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实收资本不实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收入支出通过往来科目核算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的问题。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处理情况和建议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汝州市审计局针对审计发现的问题，已依法出具了审计报告，并提出了处理意见和整改建议，建议</w:t>
      </w:r>
      <w:r>
        <w:rPr>
          <w:rFonts w:hint="eastAsia" w:eastAsia="仿宋_GB2312" w:cs="Times New Roman"/>
          <w:sz w:val="32"/>
          <w:szCs w:val="32"/>
          <w:lang w:eastAsia="zh-CN"/>
        </w:rPr>
        <w:t>汝州市瑞丰粮食购销有限公司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严格落实粮食领域相关法规政策，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确保政策性粮食内控管理落到实处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，完善企业内部管理制度，提高粮食管理水平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严格按照《粮油仓储管理办法》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《河南省地方储备粮仓储管理暂行办法》《河南省地方储备粮质量管理暂行办法》等，加强粮食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收购、储存、销售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各环节管理，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降低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损失损耗，确保库存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数量真实、质量良好、储存安全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、管理规范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严格执行《中华人民共和国会计法》等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财经法规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的规定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正确进行财务核算、规范会计核算行为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五、审计</w:t>
      </w:r>
      <w:r>
        <w:rPr>
          <w:rFonts w:hint="eastAsia" w:eastAsia="黑体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黑体" w:cs="Times New Roman"/>
          <w:sz w:val="32"/>
          <w:szCs w:val="32"/>
        </w:rPr>
        <w:t>发现问题的整改情况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针对上述审计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发现的问题，</w:t>
      </w:r>
      <w:r>
        <w:rPr>
          <w:rFonts w:hint="eastAsia" w:eastAsia="仿宋_GB2312" w:cs="Times New Roman"/>
          <w:sz w:val="32"/>
          <w:szCs w:val="32"/>
          <w:lang w:eastAsia="zh-CN"/>
        </w:rPr>
        <w:t>汝州市瑞丰粮食购销有限公司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高度重视，组织召开专题会议，对报告中提出的问题逐一研究并拿出切实可行的建议和意见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，制定了整改方案。一是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严格按照《粮油仓储管理办法》及相关规定执行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出入库的溢余粮和损耗粮实际情况处理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二是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及时到工商部门将退还股金按照相关规定进行调整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/>
        </w:rPr>
        <w:t>并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按照国家统一的财务、会计制度的有关规定进行处理。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三是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完善内部管理制度，严格按照现金开支范围和标准支用现金。超过1000元的支出已使用银行转账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按照国家统一的财务、会计制度的有关规定进行处理。及时计提固定资产折旧。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五是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完善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财务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管理制度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按照国家统一的财务、会计制度的有关规定进行处理。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BlM2MyOTJkYTQ2NGE1Njk1MWRhYzQwODU0MmUifQ=="/>
  </w:docVars>
  <w:rsids>
    <w:rsidRoot w:val="001D4E2C"/>
    <w:rsid w:val="001D4E2C"/>
    <w:rsid w:val="002A369F"/>
    <w:rsid w:val="004517F1"/>
    <w:rsid w:val="004E1A0C"/>
    <w:rsid w:val="006421BC"/>
    <w:rsid w:val="2A6C47DB"/>
    <w:rsid w:val="2C3921C2"/>
    <w:rsid w:val="316E07A1"/>
    <w:rsid w:val="5F20171F"/>
    <w:rsid w:val="6BBF7860"/>
    <w:rsid w:val="704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unhideWhenUsed/>
    <w:qFormat/>
    <w:uiPriority w:val="99"/>
    <w:rPr>
      <w:rFonts w:ascii="宋体"/>
      <w:sz w:val="18"/>
      <w:szCs w:val="18"/>
    </w:rPr>
  </w:style>
  <w:style w:type="paragraph" w:customStyle="1" w:styleId="5">
    <w:name w:val="Char Char Char Char"/>
    <w:basedOn w:val="2"/>
    <w:qFormat/>
    <w:uiPriority w:val="0"/>
    <w:pPr>
      <w:shd w:val="clear" w:color="auto" w:fill="000080"/>
    </w:pPr>
    <w:rPr>
      <w:rFonts w:ascii="Tahoma" w:hAnsi="Tahoma" w:eastAsia="仿宋_GB2312"/>
      <w:sz w:val="24"/>
      <w:szCs w:val="32"/>
    </w:rPr>
  </w:style>
  <w:style w:type="character" w:customStyle="1" w:styleId="6">
    <w:name w:val="文档结构图 Char"/>
    <w:basedOn w:val="4"/>
    <w:link w:val="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1169</Words>
  <Characters>1230</Characters>
  <Lines>9</Lines>
  <Paragraphs>2</Paragraphs>
  <TotalTime>1</TotalTime>
  <ScaleCrop>false</ScaleCrop>
  <LinksUpToDate>false</LinksUpToDate>
  <CharactersWithSpaces>1230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2021-12-17T03:50:00Z</dcterms:created>
  <dc:creator>Administrator</dc:creator>
  <cp:lastModifiedBy>Administrator</cp:lastModifiedBy>
  <dcterms:modified xsi:type="dcterms:W3CDTF">2022-12-22T09:06:28Z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431E7E3CA0454E9FAD9DFFB3802B30C4</vt:lpwstr>
  </property>
</Properties>
</file>