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仿宋" w:hAnsi="仿宋" w:eastAsia="仿宋" w:cs="仿宋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hint="eastAsia" w:ascii="仿宋" w:hAnsi="仿宋" w:eastAsia="仿宋" w:cs="仿宋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40" w:wrap="around" w:vAnchor="margin" w:hAnchor="text" w:x="2098" w:y="1626"/>
        <w:widowControl w:val="0"/>
        <w:autoSpaceDE w:val="0"/>
        <w:autoSpaceDN w:val="0"/>
        <w:spacing w:line="300" w:lineRule="exact"/>
        <w:rPr>
          <w:rFonts w:hint="eastAsia" w:ascii="仿宋" w:hAnsi="仿宋" w:eastAsia="仿宋" w:cs="仿宋"/>
          <w:color w:val="000000"/>
          <w:sz w:val="30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30"/>
          <w:szCs w:val="22"/>
          <w:lang w:val="en-US" w:eastAsia="en-US" w:bidi="ar-SA"/>
        </w:rPr>
        <w:t>附件</w:t>
      </w:r>
    </w:p>
    <w:p>
      <w:pPr>
        <w:framePr w:w="802" w:wrap="around" w:vAnchor="margin" w:hAnchor="text" w:x="2280" w:y="3058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6241F"/>
          <w:spacing w:val="1"/>
          <w:sz w:val="28"/>
          <w:szCs w:val="22"/>
          <w:lang w:val="en-US" w:eastAsia="en-US" w:bidi="ar-SA"/>
        </w:rPr>
        <w:t>学段</w:t>
      </w:r>
    </w:p>
    <w:p>
      <w:pPr>
        <w:framePr w:w="802" w:wrap="around" w:vAnchor="margin" w:hAnchor="text" w:x="3420" w:y="3058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72520"/>
          <w:spacing w:val="1"/>
          <w:sz w:val="28"/>
          <w:szCs w:val="22"/>
          <w:lang w:val="en-US" w:eastAsia="en-US" w:bidi="ar-SA"/>
        </w:rPr>
        <w:t>资助</w:t>
      </w:r>
    </w:p>
    <w:p>
      <w:pPr>
        <w:framePr w:w="1364" w:wrap="around" w:vAnchor="margin" w:hAnchor="text" w:x="5794" w:y="3058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92721"/>
          <w:sz w:val="28"/>
          <w:szCs w:val="22"/>
          <w:lang w:val="en-US" w:eastAsia="en-US" w:bidi="ar-SA"/>
        </w:rPr>
        <w:t>资助对象</w:t>
      </w:r>
    </w:p>
    <w:p>
      <w:pPr>
        <w:framePr w:w="1364" w:wrap="around" w:vAnchor="margin" w:hAnchor="text" w:x="9334" w:y="3058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92721"/>
          <w:sz w:val="28"/>
          <w:szCs w:val="22"/>
          <w:lang w:val="en-US" w:eastAsia="en-US" w:bidi="ar-SA"/>
        </w:rPr>
        <w:t>资助标准</w:t>
      </w:r>
    </w:p>
    <w:p>
      <w:pPr>
        <w:framePr w:w="1364" w:wrap="around" w:vAnchor="margin" w:hAnchor="text" w:x="12595" w:y="3058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82620"/>
          <w:sz w:val="28"/>
          <w:szCs w:val="22"/>
          <w:lang w:val="en-US" w:eastAsia="en-US" w:bidi="ar-SA"/>
        </w:rPr>
        <w:t>资助程序</w:t>
      </w:r>
    </w:p>
    <w:p>
      <w:pPr>
        <w:framePr w:w="4018" w:wrap="around" w:vAnchor="margin" w:hAnchor="text" w:x="4373" w:y="3574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对经县级以上教育行政部门审批设立的普</w:t>
      </w:r>
    </w:p>
    <w:p>
      <w:pPr>
        <w:framePr w:w="3598" w:wrap="around" w:vAnchor="margin" w:hAnchor="text" w:x="11455" w:y="371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监护人向所在幼儿园申请，经核定后</w:t>
      </w:r>
    </w:p>
    <w:p>
      <w:pPr>
        <w:framePr w:w="3598" w:wrap="around" w:vAnchor="margin" w:hAnchor="text" w:x="11455" w:y="3711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通过一卡通分春秋季发放。</w:t>
      </w:r>
    </w:p>
    <w:p>
      <w:pPr>
        <w:framePr w:w="6910" w:wrap="around" w:vAnchor="margin" w:hAnchor="text" w:x="3240" w:y="3847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生活补助</w:t>
      </w:r>
      <w:r>
        <w:rPr>
          <w:rFonts w:hint="eastAsia" w:ascii="仿宋" w:hAnsi="仿宋" w:eastAsia="仿宋" w:cs="仿宋"/>
          <w:color w:val="000000"/>
          <w:spacing w:val="24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pacing w:val="-2"/>
          <w:sz w:val="21"/>
          <w:szCs w:val="22"/>
          <w:lang w:val="en-US" w:eastAsia="en-US" w:bidi="ar-SA"/>
        </w:rPr>
        <w:t>惠性幼儿园在园家庭经济困难儿童、孤儿和</w:t>
      </w:r>
      <w:r>
        <w:rPr>
          <w:rFonts w:hint="eastAsia" w:ascii="仿宋" w:hAnsi="仿宋" w:eastAsia="仿宋" w:cs="仿宋"/>
          <w:color w:val="000000"/>
          <w:spacing w:val="166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400元/生/年。</w:t>
      </w:r>
    </w:p>
    <w:p>
      <w:pPr>
        <w:framePr w:w="6910" w:wrap="around" w:vAnchor="margin" w:hAnchor="text" w:x="3240" w:y="3847"/>
        <w:widowControl w:val="0"/>
        <w:autoSpaceDE w:val="0"/>
        <w:autoSpaceDN w:val="0"/>
        <w:spacing w:before="62" w:line="209" w:lineRule="exact"/>
        <w:ind w:left="1133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残疾儿童。</w:t>
      </w:r>
    </w:p>
    <w:p>
      <w:pPr>
        <w:framePr w:w="1078" w:wrap="around" w:vAnchor="margin" w:hAnchor="text" w:x="2098" w:y="4299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学前教育</w:t>
      </w:r>
    </w:p>
    <w:p>
      <w:pPr>
        <w:framePr w:w="3598" w:wrap="around" w:vAnchor="margin" w:hAnchor="text" w:x="11455" w:y="4455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幼儿园每学期组织符合条件的幼儿监</w:t>
      </w:r>
    </w:p>
    <w:p>
      <w:pPr>
        <w:framePr w:w="3598" w:wrap="around" w:vAnchor="margin" w:hAnchor="text" w:x="11455" w:y="4455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护人填写申请表，通过一卡通分春秋</w:t>
      </w:r>
    </w:p>
    <w:p>
      <w:pPr>
        <w:framePr w:w="3598" w:wrap="around" w:vAnchor="margin" w:hAnchor="text" w:x="11455" w:y="4455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季发放。</w:t>
      </w:r>
    </w:p>
    <w:p>
      <w:pPr>
        <w:framePr w:w="4018" w:wrap="around" w:vAnchor="margin" w:hAnchor="text" w:x="4373" w:y="459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具有正式学籍的学前教育原建档立卡贫困</w:t>
      </w:r>
    </w:p>
    <w:p>
      <w:pPr>
        <w:framePr w:w="4018" w:wrap="around" w:vAnchor="margin" w:hAnchor="text" w:x="4373" w:y="4591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家庭幼儿。</w:t>
      </w:r>
    </w:p>
    <w:p>
      <w:pPr>
        <w:framePr w:w="869" w:wrap="around" w:vAnchor="margin" w:hAnchor="text" w:x="3240" w:y="472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保教费</w:t>
      </w:r>
    </w:p>
    <w:p>
      <w:pPr>
        <w:framePr w:w="1601" w:wrap="around" w:vAnchor="margin" w:hAnchor="text" w:x="8549" w:y="472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600元/生/年。</w:t>
      </w:r>
    </w:p>
    <w:p>
      <w:pPr>
        <w:framePr w:w="2967" w:wrap="around" w:vAnchor="margin" w:hAnchor="text" w:x="8549" w:y="5374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寄宿生：小学1250元/生/年；</w:t>
      </w:r>
    </w:p>
    <w:p>
      <w:pPr>
        <w:framePr w:w="2967" w:wrap="around" w:vAnchor="margin" w:hAnchor="text" w:x="8549" w:y="5374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3"/>
          <w:sz w:val="21"/>
          <w:szCs w:val="22"/>
          <w:lang w:val="en-US" w:eastAsia="en-US" w:bidi="ar-SA"/>
        </w:rPr>
        <w:t>初中1500元/生/年。非寄宿生</w:t>
      </w:r>
    </w:p>
    <w:p>
      <w:pPr>
        <w:framePr w:w="2967" w:wrap="around" w:vAnchor="margin" w:hAnchor="text" w:x="8549" w:y="5374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：参照寄宿生50%执行。</w:t>
      </w:r>
    </w:p>
    <w:p>
      <w:pPr>
        <w:framePr w:w="5150" w:wrap="around" w:vAnchor="margin" w:hAnchor="text" w:x="3240" w:y="551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困难学生</w:t>
      </w:r>
      <w:r>
        <w:rPr>
          <w:rFonts w:hint="eastAsia" w:ascii="仿宋" w:hAnsi="仿宋" w:eastAsia="仿宋" w:cs="仿宋"/>
          <w:color w:val="000000"/>
          <w:spacing w:val="24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具有正式学籍的义务教育在校生中家庭经</w:t>
      </w:r>
    </w:p>
    <w:p>
      <w:pPr>
        <w:framePr w:w="5150" w:wrap="around" w:vAnchor="margin" w:hAnchor="text" w:x="3240" w:y="5511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生活补助</w:t>
      </w:r>
      <w:r>
        <w:rPr>
          <w:rFonts w:hint="eastAsia" w:ascii="仿宋" w:hAnsi="仿宋" w:eastAsia="仿宋" w:cs="仿宋"/>
          <w:color w:val="000000"/>
          <w:spacing w:val="24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济困难学生。</w:t>
      </w:r>
    </w:p>
    <w:p>
      <w:pPr>
        <w:framePr w:w="3598" w:wrap="around" w:vAnchor="margin" w:hAnchor="text" w:x="11455" w:y="551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学生或监护人向所在学校申请，经核</w:t>
      </w:r>
    </w:p>
    <w:p>
      <w:pPr>
        <w:framePr w:w="3598" w:wrap="around" w:vAnchor="margin" w:hAnchor="text" w:x="11455" w:y="5511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定后通过一卡通分春秋季发放。</w:t>
      </w:r>
    </w:p>
    <w:p>
      <w:pPr>
        <w:framePr w:w="1078" w:wrap="around" w:vAnchor="margin" w:hAnchor="text" w:x="2098" w:y="6156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义务教育</w:t>
      </w:r>
    </w:p>
    <w:p>
      <w:pPr>
        <w:framePr w:w="5777" w:wrap="around" w:vAnchor="margin" w:hAnchor="text" w:x="4373" w:y="6353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具有正式学籍的义务教育在校生中原建档</w:t>
      </w:r>
    </w:p>
    <w:p>
      <w:pPr>
        <w:framePr w:w="5777" w:wrap="around" w:vAnchor="margin" w:hAnchor="text" w:x="4373" w:y="6353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2"/>
          <w:sz w:val="21"/>
          <w:szCs w:val="22"/>
          <w:lang w:val="en-US" w:eastAsia="en-US" w:bidi="ar-SA"/>
        </w:rPr>
        <w:t>立卡贫困家庭学生，享受国定营养改善计划</w:t>
      </w:r>
      <w:r>
        <w:rPr>
          <w:rFonts w:hint="eastAsia" w:ascii="仿宋" w:hAnsi="仿宋" w:eastAsia="仿宋" w:cs="仿宋"/>
          <w:color w:val="000000"/>
          <w:spacing w:val="167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800元/生/年。</w:t>
      </w:r>
    </w:p>
    <w:p>
      <w:pPr>
        <w:framePr w:w="5777" w:wrap="around" w:vAnchor="margin" w:hAnchor="text" w:x="4373" w:y="6353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的学生除外。</w:t>
      </w:r>
    </w:p>
    <w:p>
      <w:pPr>
        <w:framePr w:w="3598" w:wrap="around" w:vAnchor="margin" w:hAnchor="text" w:x="11455" w:y="6353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学校每学期组织符合条件的学生或监</w:t>
      </w:r>
    </w:p>
    <w:p>
      <w:pPr>
        <w:framePr w:w="3598" w:wrap="around" w:vAnchor="margin" w:hAnchor="text" w:x="11455" w:y="6353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护人填写申请表，通过一卡通分春秋</w:t>
      </w:r>
    </w:p>
    <w:p>
      <w:pPr>
        <w:framePr w:w="3598" w:wrap="around" w:vAnchor="margin" w:hAnchor="text" w:x="11455" w:y="6353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季发放。</w:t>
      </w:r>
    </w:p>
    <w:p>
      <w:pPr>
        <w:framePr w:w="1078" w:wrap="around" w:vAnchor="margin" w:hAnchor="text" w:x="3240" w:y="6487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省定营养</w:t>
      </w:r>
    </w:p>
    <w:p>
      <w:pPr>
        <w:framePr w:w="1078" w:wrap="around" w:vAnchor="margin" w:hAnchor="text" w:x="3240" w:y="6487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改善计划</w:t>
      </w:r>
    </w:p>
    <w:p>
      <w:pPr>
        <w:framePr w:w="5150" w:wrap="around" w:vAnchor="margin" w:hAnchor="text" w:x="3240" w:y="7447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国家助学</w:t>
      </w:r>
      <w:r>
        <w:rPr>
          <w:rFonts w:hint="eastAsia" w:ascii="仿宋" w:hAnsi="仿宋" w:eastAsia="仿宋" w:cs="仿宋"/>
          <w:color w:val="000000"/>
          <w:spacing w:val="24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具有正式注册学籍的普通高中在校生中的</w:t>
      </w:r>
    </w:p>
    <w:p>
      <w:pPr>
        <w:framePr w:w="2759" w:wrap="around" w:vAnchor="margin" w:hAnchor="text" w:x="8549" w:y="7447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平均资助标准每生每年2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00</w:t>
      </w:r>
    </w:p>
    <w:p>
      <w:pPr>
        <w:framePr w:w="2759" w:wrap="around" w:vAnchor="margin" w:hAnchor="text" w:x="8549" w:y="7447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"/>
          <w:sz w:val="21"/>
          <w:szCs w:val="22"/>
          <w:lang w:val="en-US" w:eastAsia="en-US" w:bidi="ar-SA"/>
        </w:rPr>
        <w:t>元。</w:t>
      </w:r>
    </w:p>
    <w:p>
      <w:pPr>
        <w:framePr w:w="3598" w:wrap="around" w:vAnchor="margin" w:hAnchor="text" w:x="11455" w:y="7447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学生或监护人向所在学校申请，经核</w:t>
      </w:r>
    </w:p>
    <w:p>
      <w:pPr>
        <w:framePr w:w="3598" w:wrap="around" w:vAnchor="margin" w:hAnchor="text" w:x="11455" w:y="7447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定后通过一卡通分春秋季发放。</w:t>
      </w:r>
    </w:p>
    <w:p>
      <w:pPr>
        <w:framePr w:w="449" w:wrap="around" w:vAnchor="margin" w:hAnchor="text" w:x="3240" w:y="772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金</w:t>
      </w:r>
    </w:p>
    <w:p>
      <w:pPr>
        <w:framePr w:w="2129" w:wrap="around" w:vAnchor="margin" w:hAnchor="text" w:x="4373" w:y="772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家庭经济困难学生。</w:t>
      </w:r>
    </w:p>
    <w:p>
      <w:pPr>
        <w:framePr w:w="2957" w:wrap="around" w:vAnchor="margin" w:hAnchor="text" w:x="8549" w:y="821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按照各级人民政府及其价格</w:t>
      </w:r>
    </w:p>
    <w:p>
      <w:pPr>
        <w:framePr w:w="2957" w:wrap="around" w:vAnchor="margin" w:hAnchor="text" w:x="8549" w:y="8218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3"/>
          <w:sz w:val="21"/>
          <w:szCs w:val="22"/>
          <w:lang w:val="en-US" w:eastAsia="en-US" w:bidi="ar-SA"/>
        </w:rPr>
        <w:t>主管部门、财政部门批准的公</w:t>
      </w:r>
    </w:p>
    <w:p>
      <w:pPr>
        <w:framePr w:w="2957" w:wrap="around" w:vAnchor="margin" w:hAnchor="text" w:x="8549" w:y="8218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办学校学费和住宿费标准执</w:t>
      </w:r>
    </w:p>
    <w:p>
      <w:pPr>
        <w:framePr w:w="2957" w:wrap="around" w:vAnchor="margin" w:hAnchor="text" w:x="8549" w:y="8218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3"/>
          <w:sz w:val="21"/>
          <w:szCs w:val="22"/>
          <w:lang w:val="en-US" w:eastAsia="en-US" w:bidi="ar-SA"/>
        </w:rPr>
        <w:t>行。民办学校学费、住宿费标</w:t>
      </w:r>
    </w:p>
    <w:p>
      <w:pPr>
        <w:framePr w:w="2957" w:wrap="around" w:vAnchor="margin" w:hAnchor="text" w:x="8549" w:y="8218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3"/>
          <w:sz w:val="21"/>
          <w:szCs w:val="22"/>
          <w:lang w:val="en-US" w:eastAsia="en-US" w:bidi="ar-SA"/>
        </w:rPr>
        <w:t>准高出补助部分，学校可继续</w:t>
      </w:r>
    </w:p>
    <w:p>
      <w:pPr>
        <w:framePr w:w="2957" w:wrap="around" w:vAnchor="margin" w:hAnchor="text" w:x="8549" w:y="8218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向学生收取。</w:t>
      </w:r>
    </w:p>
    <w:p>
      <w:pPr>
        <w:framePr w:w="869" w:wrap="around" w:vAnchor="margin" w:hAnchor="text" w:x="3240" w:y="838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免学费</w:t>
      </w:r>
    </w:p>
    <w:p>
      <w:pPr>
        <w:framePr w:w="1078" w:wrap="around" w:vAnchor="margin" w:hAnchor="text" w:x="2098" w:y="844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高中教育</w:t>
      </w:r>
    </w:p>
    <w:p>
      <w:pPr>
        <w:framePr w:w="4211" w:wrap="around" w:vAnchor="margin" w:hAnchor="text" w:x="4373" w:y="8626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具有正式学籍的普通高中原建档立卡贫困</w:t>
      </w:r>
    </w:p>
    <w:p>
      <w:pPr>
        <w:framePr w:w="4211" w:wrap="around" w:vAnchor="margin" w:hAnchor="text" w:x="4373" w:y="8626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2"/>
          <w:sz w:val="21"/>
          <w:szCs w:val="22"/>
          <w:lang w:val="en-US" w:eastAsia="en-US" w:bidi="ar-SA"/>
        </w:rPr>
        <w:t>家庭学生、家庭经济困难残疾学生、农村低</w:t>
      </w:r>
    </w:p>
    <w:p>
      <w:pPr>
        <w:framePr w:w="4211" w:wrap="around" w:vAnchor="margin" w:hAnchor="text" w:x="4373" w:y="8626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保家庭学生、农村特困救助供养学生。</w:t>
      </w:r>
    </w:p>
    <w:p>
      <w:pPr>
        <w:framePr w:w="1289" w:wrap="around" w:vAnchor="margin" w:hAnchor="text" w:x="11455" w:y="8899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直接免除。</w:t>
      </w:r>
    </w:p>
    <w:p>
      <w:pPr>
        <w:framePr w:w="960" w:wrap="around" w:vAnchor="margin" w:hAnchor="text" w:x="3240" w:y="9270"/>
        <w:widowControl w:val="0"/>
        <w:autoSpaceDE w:val="0"/>
        <w:autoSpaceDN w:val="0"/>
        <w:spacing w:line="180" w:lineRule="exact"/>
        <w:rPr>
          <w:rFonts w:hint="eastAsia" w:ascii="仿宋" w:hAnsi="仿宋" w:eastAsia="仿宋" w:cs="仿宋"/>
          <w:color w:val="000000"/>
          <w:sz w:val="1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18"/>
          <w:szCs w:val="22"/>
          <w:lang w:val="en-US" w:eastAsia="en-US" w:bidi="ar-SA"/>
        </w:rPr>
        <w:t>免住宿费</w:t>
      </w:r>
    </w:p>
    <w:p>
      <w:pPr>
        <w:spacing w:line="0" w:lineRule="atLeast"/>
        <w:rPr>
          <w:rFonts w:hint="eastAsia" w:ascii="仿宋" w:hAnsi="仿宋" w:eastAsia="仿宋" w:cs="仿宋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2" w:name="_GoBack"/>
      <w:bookmarkEnd w:id="2"/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3553460</wp:posOffset>
            </wp:positionH>
            <wp:positionV relativeFrom="page">
              <wp:posOffset>1356360</wp:posOffset>
            </wp:positionV>
            <wp:extent cx="3656965" cy="357505"/>
            <wp:effectExtent l="0" t="0" r="635" b="825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1247775</wp:posOffset>
            </wp:positionH>
            <wp:positionV relativeFrom="page">
              <wp:posOffset>1809750</wp:posOffset>
            </wp:positionV>
            <wp:extent cx="8278495" cy="4481830"/>
            <wp:effectExtent l="0" t="0" r="12065" b="139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8495" cy="44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hint="eastAsia" w:ascii="仿宋" w:hAnsi="仿宋" w:eastAsia="仿宋" w:cs="仿宋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hint="eastAsia" w:ascii="仿宋" w:hAnsi="仿宋" w:eastAsia="仿宋" w:cs="仿宋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02" w:wrap="around" w:vAnchor="margin" w:hAnchor="text" w:x="2280" w:y="1762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6241F"/>
          <w:spacing w:val="1"/>
          <w:sz w:val="28"/>
          <w:szCs w:val="22"/>
          <w:lang w:val="en-US" w:eastAsia="en-US" w:bidi="ar-SA"/>
        </w:rPr>
        <w:t>学段</w:t>
      </w:r>
    </w:p>
    <w:p>
      <w:pPr>
        <w:framePr w:w="802" w:wrap="around" w:vAnchor="margin" w:hAnchor="text" w:x="3420" w:y="1762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72520"/>
          <w:spacing w:val="1"/>
          <w:sz w:val="28"/>
          <w:szCs w:val="22"/>
          <w:lang w:val="en-US" w:eastAsia="en-US" w:bidi="ar-SA"/>
        </w:rPr>
        <w:t>资助</w:t>
      </w:r>
    </w:p>
    <w:p>
      <w:pPr>
        <w:framePr w:w="1364" w:wrap="around" w:vAnchor="margin" w:hAnchor="text" w:x="5794" w:y="1762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92721"/>
          <w:sz w:val="28"/>
          <w:szCs w:val="22"/>
          <w:lang w:val="en-US" w:eastAsia="en-US" w:bidi="ar-SA"/>
        </w:rPr>
        <w:t>资助对象</w:t>
      </w:r>
    </w:p>
    <w:p>
      <w:pPr>
        <w:framePr w:w="1364" w:wrap="around" w:vAnchor="margin" w:hAnchor="text" w:x="9334" w:y="1762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92721"/>
          <w:sz w:val="28"/>
          <w:szCs w:val="22"/>
          <w:lang w:val="en-US" w:eastAsia="en-US" w:bidi="ar-SA"/>
        </w:rPr>
        <w:t>资助标准</w:t>
      </w:r>
    </w:p>
    <w:p>
      <w:pPr>
        <w:framePr w:w="1364" w:wrap="around" w:vAnchor="margin" w:hAnchor="text" w:x="12595" w:y="1762"/>
        <w:widowControl w:val="0"/>
        <w:autoSpaceDE w:val="0"/>
        <w:autoSpaceDN w:val="0"/>
        <w:spacing w:line="281" w:lineRule="exact"/>
        <w:rPr>
          <w:rFonts w:hint="eastAsia" w:ascii="仿宋" w:hAnsi="仿宋" w:eastAsia="仿宋" w:cs="仿宋"/>
          <w:color w:val="000000"/>
          <w:sz w:val="28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282620"/>
          <w:sz w:val="28"/>
          <w:szCs w:val="22"/>
          <w:lang w:val="en-US" w:eastAsia="en-US" w:bidi="ar-SA"/>
        </w:rPr>
        <w:t>资助程序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免学费标准按照各级人民政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3"/>
          <w:sz w:val="21"/>
          <w:szCs w:val="22"/>
          <w:lang w:val="en-US" w:eastAsia="en-US" w:bidi="ar-SA"/>
        </w:rPr>
        <w:t>府及其价格主管部门、财政部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门批准的公办学校学费标准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3"/>
          <w:sz w:val="21"/>
          <w:szCs w:val="22"/>
          <w:lang w:val="en-US" w:eastAsia="en-US" w:bidi="ar-SA"/>
        </w:rPr>
        <w:t>执行（不含住宿费）。民办中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等职业学校学生免学费补助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标准按照公办学校免学费补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3"/>
          <w:sz w:val="21"/>
          <w:szCs w:val="22"/>
          <w:lang w:val="en-US" w:eastAsia="en-US" w:bidi="ar-SA"/>
        </w:rPr>
        <w:t>助标准执行，民办学校学费标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3"/>
          <w:sz w:val="21"/>
          <w:szCs w:val="22"/>
          <w:lang w:val="en-US" w:eastAsia="en-US" w:bidi="ar-SA"/>
        </w:rPr>
        <w:t>准高出补助部分，学校可继续</w:t>
      </w:r>
    </w:p>
    <w:p>
      <w:pPr>
        <w:framePr w:w="2957" w:wrap="around" w:vAnchor="margin" w:hAnchor="text" w:x="8549" w:y="2259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向学生收取。</w:t>
      </w:r>
    </w:p>
    <w:p>
      <w:pPr>
        <w:framePr w:w="4018" w:wrap="around" w:vAnchor="margin" w:hAnchor="text" w:x="4373" w:y="321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各类中等职业学校全日制学历教育正式学</w:t>
      </w:r>
    </w:p>
    <w:p>
      <w:pPr>
        <w:framePr w:w="4018" w:wrap="around" w:vAnchor="margin" w:hAnchor="text" w:x="4373" w:y="3211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籍在校学生。</w:t>
      </w:r>
    </w:p>
    <w:p>
      <w:pPr>
        <w:framePr w:w="869" w:wrap="around" w:vAnchor="margin" w:hAnchor="text" w:x="3240" w:y="334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免学费</w:t>
      </w:r>
    </w:p>
    <w:p>
      <w:pPr>
        <w:framePr w:w="1289" w:wrap="around" w:vAnchor="margin" w:hAnchor="text" w:x="11455" w:y="334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直接免除。</w:t>
      </w:r>
    </w:p>
    <w:p>
      <w:pPr>
        <w:framePr w:w="1078" w:wrap="around" w:vAnchor="margin" w:hAnchor="text" w:x="2098" w:y="406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中职教育</w:t>
      </w:r>
    </w:p>
    <w:p>
      <w:pPr>
        <w:framePr w:w="4229" w:wrap="around" w:vAnchor="margin" w:hAnchor="text" w:x="4373" w:y="502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中等职业学校全日制学历教育正式学籍一、</w:t>
      </w:r>
    </w:p>
    <w:p>
      <w:pPr>
        <w:framePr w:w="4229" w:wrap="around" w:vAnchor="margin" w:hAnchor="text" w:x="4373" w:y="5028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二年级在校涉农专业学生和非涉农专业家</w:t>
      </w:r>
    </w:p>
    <w:p>
      <w:pPr>
        <w:framePr w:w="4229" w:wrap="around" w:vAnchor="margin" w:hAnchor="text" w:x="4373" w:y="5028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庭经济困难学生。</w:t>
      </w:r>
    </w:p>
    <w:p>
      <w:pPr>
        <w:framePr w:w="1078" w:wrap="around" w:vAnchor="margin" w:hAnchor="text" w:x="3240" w:y="5165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国家助学</w:t>
      </w:r>
    </w:p>
    <w:p>
      <w:pPr>
        <w:framePr w:w="1078" w:wrap="around" w:vAnchor="margin" w:hAnchor="text" w:x="3240" w:y="5165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金</w:t>
      </w:r>
    </w:p>
    <w:p>
      <w:pPr>
        <w:framePr w:w="2759" w:wrap="around" w:vAnchor="margin" w:hAnchor="text" w:x="8549" w:y="5165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平均资助标准每生每年2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zh-CN" w:bidi="ar-SA"/>
        </w:rPr>
        <w:t>3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00</w:t>
      </w:r>
    </w:p>
    <w:p>
      <w:pPr>
        <w:framePr w:w="2759" w:wrap="around" w:vAnchor="margin" w:hAnchor="text" w:x="8549" w:y="5165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"/>
          <w:sz w:val="21"/>
          <w:szCs w:val="22"/>
          <w:lang w:val="en-US" w:eastAsia="en-US" w:bidi="ar-SA"/>
        </w:rPr>
        <w:t>元。</w:t>
      </w:r>
    </w:p>
    <w:p>
      <w:pPr>
        <w:framePr w:w="3598" w:wrap="around" w:vAnchor="margin" w:hAnchor="text" w:x="11455" w:y="5165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学生向所在学校申请，经核定后通过</w:t>
      </w:r>
    </w:p>
    <w:p>
      <w:pPr>
        <w:framePr w:w="3598" w:wrap="around" w:vAnchor="margin" w:hAnchor="text" w:x="11455" w:y="5165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一卡通分春秋季发放。</w:t>
      </w:r>
    </w:p>
    <w:p>
      <w:pPr>
        <w:framePr w:w="1078" w:wrap="around" w:vAnchor="margin" w:hAnchor="text" w:x="3240" w:y="6396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生源地信</w:t>
      </w:r>
    </w:p>
    <w:p>
      <w:pPr>
        <w:framePr w:w="1078" w:wrap="around" w:vAnchor="margin" w:hAnchor="text" w:x="3240" w:y="6396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用助学贷</w:t>
      </w:r>
    </w:p>
    <w:p>
      <w:pPr>
        <w:framePr w:w="1078" w:wrap="around" w:vAnchor="margin" w:hAnchor="text" w:x="3240" w:y="6396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款</w:t>
      </w:r>
    </w:p>
    <w:p>
      <w:pPr>
        <w:framePr w:w="2863" w:wrap="around" w:vAnchor="margin" w:hAnchor="text" w:x="8549" w:y="6396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全日制普通本专科生每年最</w:t>
      </w:r>
    </w:p>
    <w:p>
      <w:pPr>
        <w:framePr w:w="2863" w:wrap="around" w:vAnchor="margin" w:hAnchor="text" w:x="8549" w:y="6396"/>
        <w:widowControl w:val="0"/>
        <w:autoSpaceDE w:val="0"/>
        <w:autoSpaceDN w:val="0"/>
        <w:spacing w:before="65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高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zh-CN" w:bidi="ar-SA"/>
        </w:rPr>
        <w:t>20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000元、研究生每年最高</w:t>
      </w:r>
    </w:p>
    <w:p>
      <w:pPr>
        <w:framePr w:w="2863" w:wrap="around" w:vAnchor="margin" w:hAnchor="text" w:x="8549" w:y="6396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"/>
          <w:sz w:val="21"/>
          <w:szCs w:val="22"/>
          <w:lang w:val="en-US" w:eastAsia="en-US" w:bidi="ar-SA"/>
        </w:rPr>
        <w:t>2</w:t>
      </w:r>
      <w:r>
        <w:rPr>
          <w:rFonts w:hint="eastAsia" w:ascii="仿宋" w:hAnsi="仿宋" w:eastAsia="仿宋" w:cs="仿宋"/>
          <w:color w:val="000000"/>
          <w:spacing w:val="-1"/>
          <w:sz w:val="21"/>
          <w:szCs w:val="22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000000"/>
          <w:spacing w:val="-1"/>
          <w:sz w:val="21"/>
          <w:szCs w:val="22"/>
          <w:lang w:val="en-US" w:eastAsia="en-US" w:bidi="ar-SA"/>
        </w:rPr>
        <w:t>000元。</w:t>
      </w:r>
    </w:p>
    <w:p>
      <w:pPr>
        <w:framePr w:w="4018" w:wrap="around" w:vAnchor="margin" w:hAnchor="text" w:x="4373" w:y="6535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平顶山籍全日制普通高校家庭经济困难学</w:t>
      </w:r>
    </w:p>
    <w:p>
      <w:pPr>
        <w:framePr w:w="4018" w:wrap="around" w:vAnchor="margin" w:hAnchor="text" w:x="4373" w:y="6535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1"/>
          <w:sz w:val="21"/>
          <w:szCs w:val="22"/>
          <w:lang w:val="en-US" w:eastAsia="en-US" w:bidi="ar-SA"/>
        </w:rPr>
        <w:t>生。</w:t>
      </w:r>
    </w:p>
    <w:p>
      <w:pPr>
        <w:framePr w:w="3495" w:wrap="around" w:vAnchor="margin" w:hAnchor="text" w:x="11455" w:y="6535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每年7月15日-9月20日在户籍所在地</w:t>
      </w:r>
    </w:p>
    <w:p>
      <w:pPr>
        <w:framePr w:w="3495" w:wrap="around" w:vAnchor="margin" w:hAnchor="text" w:x="11455" w:y="6535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县级学生资助部门办理。</w:t>
      </w:r>
    </w:p>
    <w:p>
      <w:pPr>
        <w:framePr w:w="10683" w:wrap="around" w:vAnchor="margin" w:hAnchor="text" w:x="4373" w:y="7769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pacing w:val="-2"/>
          <w:sz w:val="21"/>
          <w:szCs w:val="22"/>
          <w:lang w:val="en-US" w:eastAsia="en-US" w:bidi="ar-SA"/>
        </w:rPr>
        <w:t>被全日制普通高校录取的高中、中职应届毕</w:t>
      </w:r>
      <w:r>
        <w:rPr>
          <w:rFonts w:hint="eastAsia" w:ascii="仿宋" w:hAnsi="仿宋" w:eastAsia="仿宋" w:cs="仿宋"/>
          <w:color w:val="000000"/>
          <w:spacing w:val="166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省内高校每生500元、省外高</w:t>
      </w:r>
      <w:r>
        <w:rPr>
          <w:rFonts w:hint="eastAsia" w:ascii="仿宋" w:hAnsi="仿宋" w:eastAsia="仿宋" w:cs="仿宋"/>
          <w:color w:val="000000"/>
          <w:spacing w:val="230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每年7月10日至9月20日学生向毕业学</w:t>
      </w:r>
    </w:p>
    <w:p>
      <w:pPr>
        <w:framePr w:w="10683" w:wrap="around" w:vAnchor="margin" w:hAnchor="text" w:x="4373" w:y="7769"/>
        <w:widowControl w:val="0"/>
        <w:autoSpaceDE w:val="0"/>
        <w:autoSpaceDN w:val="0"/>
        <w:spacing w:before="62" w:line="209" w:lineRule="exact"/>
        <w:ind w:left="7082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校申请。</w:t>
      </w:r>
    </w:p>
    <w:p>
      <w:pPr>
        <w:framePr w:w="2220" w:wrap="around" w:vAnchor="margin" w:hAnchor="text" w:x="2098" w:y="7906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高等教育</w:t>
      </w:r>
      <w:r>
        <w:rPr>
          <w:rFonts w:hint="eastAsia" w:ascii="仿宋" w:hAnsi="仿宋" w:eastAsia="仿宋" w:cs="仿宋"/>
          <w:color w:val="000000"/>
          <w:spacing w:val="25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滋蕙计划</w:t>
      </w:r>
    </w:p>
    <w:p>
      <w:pPr>
        <w:framePr w:w="2220" w:wrap="around" w:vAnchor="margin" w:hAnchor="text" w:x="2098" w:y="7906"/>
        <w:widowControl w:val="0"/>
        <w:autoSpaceDE w:val="0"/>
        <w:autoSpaceDN w:val="0"/>
        <w:spacing w:before="753" w:line="209" w:lineRule="exact"/>
        <w:ind w:left="1142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国家奖学</w:t>
      </w:r>
    </w:p>
    <w:p>
      <w:pPr>
        <w:framePr w:w="2338" w:wrap="around" w:vAnchor="margin" w:hAnchor="text" w:x="4373" w:y="8040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业家庭特别困难学生。</w:t>
      </w:r>
    </w:p>
    <w:p>
      <w:pPr>
        <w:framePr w:w="1707" w:wrap="around" w:vAnchor="margin" w:hAnchor="text" w:x="8549" w:y="8040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校每生1000元。</w:t>
      </w:r>
    </w:p>
    <w:p>
      <w:pPr>
        <w:framePr w:w="3262" w:wrap="around" w:vAnchor="margin" w:hAnchor="text" w:x="3240" w:y="9168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金、助学</w:t>
      </w:r>
      <w:r>
        <w:rPr>
          <w:rFonts w:hint="eastAsia" w:ascii="仿宋" w:hAnsi="仿宋" w:eastAsia="仿宋" w:cs="仿宋"/>
          <w:color w:val="000000"/>
          <w:spacing w:val="242"/>
          <w:sz w:val="21"/>
          <w:szCs w:val="22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全日制在校大学生。</w:t>
      </w:r>
    </w:p>
    <w:p>
      <w:pPr>
        <w:framePr w:w="3262" w:wrap="around" w:vAnchor="margin" w:hAnchor="text" w:x="3240" w:y="9168"/>
        <w:widowControl w:val="0"/>
        <w:autoSpaceDE w:val="0"/>
        <w:autoSpaceDN w:val="0"/>
        <w:spacing w:before="62"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金</w:t>
      </w:r>
    </w:p>
    <w:p>
      <w:pPr>
        <w:framePr w:w="2338" w:wrap="around" w:vAnchor="margin" w:hAnchor="text" w:x="8549" w:y="917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根据各高校资助政策。</w:t>
      </w:r>
    </w:p>
    <w:p>
      <w:pPr>
        <w:framePr w:w="3389" w:wrap="around" w:vAnchor="margin" w:hAnchor="text" w:x="11455" w:y="9171"/>
        <w:widowControl w:val="0"/>
        <w:autoSpaceDE w:val="0"/>
        <w:autoSpaceDN w:val="0"/>
        <w:spacing w:line="209" w:lineRule="exact"/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21"/>
          <w:szCs w:val="22"/>
          <w:lang w:val="en-US" w:eastAsia="en-US" w:bidi="ar-SA"/>
        </w:rPr>
        <w:t>请咨询各高等院校学生资助部门。</w:t>
      </w:r>
    </w:p>
    <w:p>
      <w:pPr>
        <w:framePr w:w="13039" w:wrap="around" w:vAnchor="margin" w:hAnchor="text" w:x="2098" w:y="10007"/>
        <w:widowControl w:val="0"/>
        <w:autoSpaceDE w:val="0"/>
        <w:autoSpaceDN w:val="0"/>
        <w:spacing w:line="319" w:lineRule="exact"/>
        <w:rPr>
          <w:rFonts w:hint="eastAsia" w:ascii="仿宋" w:hAnsi="仿宋" w:eastAsia="仿宋" w:cs="仿宋"/>
          <w:color w:val="000000"/>
          <w:sz w:val="32"/>
          <w:szCs w:val="22"/>
          <w:lang w:val="en-US" w:eastAsia="en-US" w:bidi="ar-SA"/>
        </w:rPr>
      </w:pPr>
      <w:r>
        <w:rPr>
          <w:rFonts w:hint="eastAsia" w:ascii="仿宋" w:hAnsi="仿宋" w:eastAsia="仿宋" w:cs="仿宋"/>
          <w:color w:val="000000"/>
          <w:sz w:val="32"/>
          <w:szCs w:val="22"/>
          <w:lang w:val="en-US" w:eastAsia="en-US" w:bidi="ar-SA"/>
        </w:rPr>
        <w:t>备注：原建档立卡学生包括“脱贫享受政策户”和“风险未消除的脱贫不稳定家庭”两类。</w:t>
      </w:r>
    </w:p>
    <w:p>
      <w:pPr>
        <w:spacing w:line="0" w:lineRule="atLeast"/>
        <w:rPr>
          <w:rFonts w:hint="eastAsia" w:ascii="仿宋" w:hAnsi="仿宋" w:eastAsia="仿宋" w:cs="仿宋"/>
          <w:color w:val="FF0000"/>
          <w:sz w:val="2"/>
          <w:szCs w:val="22"/>
          <w:lang w:val="en-US" w:eastAsia="en-US" w:bidi="ar-SA"/>
        </w:rPr>
      </w:pPr>
      <w:r>
        <w:rPr>
          <w:rFonts w:hint="eastAsia" w:ascii="仿宋" w:hAnsi="仿宋" w:eastAsia="仿宋" w:cs="仿宋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1247775</wp:posOffset>
            </wp:positionH>
            <wp:positionV relativeFrom="page">
              <wp:posOffset>991235</wp:posOffset>
            </wp:positionV>
            <wp:extent cx="8278495" cy="5354320"/>
            <wp:effectExtent l="0" t="0" r="12065" b="1016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78495" cy="53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20" w:h="11900" w:orient="landscape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ONAFSP+FangSong_GB2312">
    <w:altName w:val="Square721 Ex B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FHGFC+FangSong_GB2312">
    <w:altName w:val="Square721 Ex B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LEPAQ+KaiTi_GB2312">
    <w:altName w:val="Square721 Ex B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quare721 Ex BT">
    <w:panose1 w:val="020B0507020202060203"/>
    <w:charset w:val="00"/>
    <w:family w:val="auto"/>
    <w:pitch w:val="default"/>
    <w:sig w:usb0="800000AF" w:usb1="1000204A" w:usb2="00000000" w:usb3="00000000" w:csb0="0000001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46FA2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2025-11-11T08:22:37Z</dcterms:created>
  <dc:creator>Administrator</dc:creator>
  <cp:lastModifiedBy>于柏佳</cp:lastModifiedBy>
  <cp:lastPrinted>2025-11-11T08:27:55Z</cp:lastPrinted>
  <dcterms:modified xsi:type="dcterms:W3CDTF">2025-11-11T08:40:29Z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