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3CB46">
      <w:pPr>
        <w:spacing w:line="360" w:lineRule="auto"/>
        <w:jc w:val="center"/>
        <w:rPr>
          <w:rFonts w:hint="eastAsia" w:ascii="黑体" w:eastAsia="黑体" w:cs="宋体"/>
          <w:bCs/>
          <w:sz w:val="44"/>
          <w:lang w:eastAsia="zh-CN"/>
        </w:rPr>
      </w:pPr>
      <w:r>
        <w:rPr>
          <w:rFonts w:hint="eastAsia" w:ascii="黑体" w:eastAsia="黑体" w:cs="宋体"/>
          <w:bCs/>
          <w:sz w:val="44"/>
          <w:lang w:eastAsia="zh-CN"/>
        </w:rPr>
        <w:t>汝州市</w:t>
      </w:r>
    </w:p>
    <w:p w14:paraId="528C8C9C">
      <w:pPr>
        <w:spacing w:line="360" w:lineRule="auto"/>
        <w:jc w:val="center"/>
        <w:rPr>
          <w:rFonts w:ascii="黑体" w:eastAsia="黑体"/>
          <w:sz w:val="44"/>
        </w:rPr>
      </w:pPr>
      <w:r>
        <w:rPr>
          <w:rFonts w:ascii="黑体" w:eastAsia="黑体"/>
          <w:sz w:val="44"/>
        </w:rPr>
        <w:t>202</w:t>
      </w:r>
      <w:r>
        <w:rPr>
          <w:rFonts w:hint="eastAsia" w:ascii="黑体" w:eastAsia="黑体"/>
          <w:sz w:val="44"/>
          <w:lang w:val="en-US" w:eastAsia="zh-CN"/>
        </w:rPr>
        <w:t>5</w:t>
      </w:r>
      <w:r>
        <w:rPr>
          <w:rFonts w:ascii="黑体" w:eastAsia="黑体"/>
          <w:sz w:val="44"/>
        </w:rPr>
        <w:t>年科学施肥增效工作方案</w:t>
      </w:r>
    </w:p>
    <w:p w14:paraId="220195A4">
      <w:pPr>
        <w:spacing w:line="700" w:lineRule="exact"/>
        <w:jc w:val="center"/>
        <w:rPr>
          <w:rFonts w:ascii="黑体" w:hAnsi="华文中宋" w:eastAsia="黑体"/>
          <w:sz w:val="44"/>
        </w:rPr>
      </w:pPr>
    </w:p>
    <w:p w14:paraId="0C1A5C66">
      <w:pPr>
        <w:spacing w:line="700" w:lineRule="exact"/>
        <w:jc w:val="center"/>
        <w:rPr>
          <w:rFonts w:ascii="黑体" w:hAnsi="华文中宋" w:eastAsia="黑体"/>
          <w:sz w:val="44"/>
        </w:rPr>
      </w:pPr>
    </w:p>
    <w:p w14:paraId="21918104">
      <w:pPr>
        <w:spacing w:line="700" w:lineRule="exact"/>
        <w:jc w:val="center"/>
        <w:rPr>
          <w:rFonts w:ascii="黑体" w:hAnsi="华文中宋" w:eastAsia="黑体"/>
          <w:sz w:val="44"/>
        </w:rPr>
      </w:pPr>
    </w:p>
    <w:p w14:paraId="04087659">
      <w:pPr>
        <w:spacing w:line="700" w:lineRule="exact"/>
        <w:jc w:val="center"/>
        <w:rPr>
          <w:rFonts w:ascii="黑体" w:hAnsi="华文中宋" w:eastAsia="黑体"/>
          <w:sz w:val="44"/>
        </w:rPr>
      </w:pPr>
    </w:p>
    <w:p w14:paraId="4CFACBB1">
      <w:pPr>
        <w:spacing w:line="700" w:lineRule="exact"/>
        <w:jc w:val="center"/>
        <w:rPr>
          <w:rFonts w:ascii="黑体" w:hAnsi="华文中宋" w:eastAsia="黑体"/>
          <w:sz w:val="44"/>
        </w:rPr>
      </w:pPr>
    </w:p>
    <w:p w14:paraId="0223F0FD">
      <w:pPr>
        <w:spacing w:line="700" w:lineRule="exact"/>
        <w:jc w:val="center"/>
        <w:rPr>
          <w:rFonts w:ascii="黑体" w:hAnsi="华文中宋" w:eastAsia="黑体"/>
          <w:sz w:val="44"/>
        </w:rPr>
      </w:pPr>
    </w:p>
    <w:p w14:paraId="4DE884EE">
      <w:pPr>
        <w:spacing w:line="700" w:lineRule="exact"/>
        <w:jc w:val="center"/>
        <w:rPr>
          <w:rFonts w:ascii="黑体" w:hAnsi="华文中宋" w:eastAsia="黑体"/>
          <w:sz w:val="44"/>
        </w:rPr>
      </w:pPr>
    </w:p>
    <w:p w14:paraId="34910666">
      <w:pPr>
        <w:spacing w:line="700" w:lineRule="exact"/>
        <w:jc w:val="center"/>
        <w:rPr>
          <w:rFonts w:ascii="黑体" w:hAnsi="华文中宋" w:eastAsia="黑体"/>
          <w:sz w:val="44"/>
        </w:rPr>
      </w:pPr>
    </w:p>
    <w:p w14:paraId="54115A7F">
      <w:pPr>
        <w:spacing w:line="360" w:lineRule="auto"/>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承担单位：</w:t>
      </w:r>
      <w:r>
        <w:rPr>
          <w:rFonts w:hint="eastAsia" w:ascii="Times New Roman" w:hAnsi="Times New Roman" w:eastAsia="仿宋_GB2312" w:cs="Times New Roman"/>
          <w:kern w:val="0"/>
          <w:sz w:val="32"/>
          <w:szCs w:val="32"/>
          <w:lang w:eastAsia="zh-CN"/>
        </w:rPr>
        <w:t>汝州市农业农村局农田建设科</w:t>
      </w:r>
    </w:p>
    <w:p w14:paraId="63ED9C3B">
      <w:pPr>
        <w:spacing w:line="360" w:lineRule="auto"/>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联 系 人：</w:t>
      </w:r>
      <w:r>
        <w:rPr>
          <w:rFonts w:hint="eastAsia" w:ascii="Times New Roman" w:hAnsi="Times New Roman" w:eastAsia="仿宋_GB2312" w:cs="Times New Roman"/>
          <w:kern w:val="0"/>
          <w:sz w:val="32"/>
          <w:szCs w:val="32"/>
          <w:lang w:eastAsia="zh-CN"/>
        </w:rPr>
        <w:t>樊亚蒙</w:t>
      </w:r>
    </w:p>
    <w:p w14:paraId="66DCA53A">
      <w:pPr>
        <w:spacing w:line="360" w:lineRule="auto"/>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联系电话：</w:t>
      </w:r>
      <w:r>
        <w:rPr>
          <w:rFonts w:hint="default" w:ascii="Times New Roman" w:hAnsi="Times New Roman" w:eastAsia="仿宋_GB2312" w:cs="Times New Roman"/>
          <w:kern w:val="0"/>
          <w:sz w:val="32"/>
          <w:szCs w:val="32"/>
          <w:lang w:val="en-US" w:eastAsia="zh-CN"/>
        </w:rPr>
        <w:t>18</w:t>
      </w:r>
      <w:r>
        <w:rPr>
          <w:rFonts w:hint="eastAsia" w:ascii="Times New Roman" w:hAnsi="Times New Roman" w:eastAsia="仿宋_GB2312" w:cs="Times New Roman"/>
          <w:kern w:val="0"/>
          <w:sz w:val="32"/>
          <w:szCs w:val="32"/>
          <w:lang w:val="en-US" w:eastAsia="zh-CN"/>
        </w:rPr>
        <w:t>637528128</w:t>
      </w:r>
    </w:p>
    <w:p w14:paraId="4782ECDD">
      <w:pPr>
        <w:spacing w:line="480" w:lineRule="auto"/>
        <w:ind w:firstLine="1280" w:firstLineChars="400"/>
        <w:rPr>
          <w:rFonts w:hAnsi="仿宋"/>
          <w:szCs w:val="32"/>
        </w:rPr>
      </w:pPr>
    </w:p>
    <w:p w14:paraId="0DE90073">
      <w:pPr>
        <w:spacing w:line="480" w:lineRule="auto"/>
        <w:ind w:firstLine="960" w:firstLineChars="300"/>
        <w:rPr>
          <w:rFonts w:hAnsi="仿宋"/>
          <w:szCs w:val="32"/>
        </w:rPr>
      </w:pPr>
    </w:p>
    <w:p w14:paraId="42A19E50">
      <w:pPr>
        <w:spacing w:line="360" w:lineRule="auto"/>
        <w:ind w:firstLine="640" w:firstLineChars="200"/>
        <w:jc w:val="center"/>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22</w:t>
      </w:r>
      <w:r>
        <w:rPr>
          <w:rFonts w:hint="eastAsia" w:ascii="Times New Roman" w:hAnsi="Times New Roman" w:eastAsia="仿宋_GB2312" w:cs="Times New Roman"/>
          <w:kern w:val="0"/>
          <w:sz w:val="32"/>
          <w:szCs w:val="32"/>
        </w:rPr>
        <w:t>日</w:t>
      </w:r>
    </w:p>
    <w:p w14:paraId="7F0BF582">
      <w:pPr>
        <w:ind w:right="640"/>
        <w:jc w:val="center"/>
        <w:rPr>
          <w:rFonts w:ascii="等线 Light" w:hAnsi="等线 Light" w:eastAsia="等线 Light"/>
          <w:b/>
          <w:szCs w:val="32"/>
        </w:rPr>
        <w:sectPr>
          <w:headerReference r:id="rId3" w:type="default"/>
          <w:footerReference r:id="rId5" w:type="default"/>
          <w:headerReference r:id="rId4" w:type="even"/>
          <w:footerReference r:id="rId6" w:type="even"/>
          <w:pgSz w:w="11906" w:h="16838"/>
          <w:pgMar w:top="2098" w:right="1474" w:bottom="1984" w:left="1587" w:header="851" w:footer="1417" w:gutter="0"/>
          <w:cols w:space="425" w:num="1"/>
          <w:docGrid w:type="lines" w:linePitch="312" w:charSpace="0"/>
        </w:sectPr>
      </w:pPr>
    </w:p>
    <w:p w14:paraId="14624EF0">
      <w:pPr>
        <w:ind w:firstLine="880" w:firstLineChars="200"/>
        <w:rPr>
          <w:rFonts w:ascii="方正小标宋简体" w:eastAsia="方正小标宋简体"/>
          <w:sz w:val="44"/>
        </w:rPr>
        <w:sectPr>
          <w:footerReference r:id="rId7" w:type="even"/>
          <w:type w:val="continuous"/>
          <w:pgSz w:w="11906" w:h="16838"/>
          <w:pgMar w:top="2098" w:right="1474" w:bottom="1984" w:left="1587" w:header="851" w:footer="1417" w:gutter="0"/>
          <w:pgNumType w:fmt="numberInDash" w:start="1"/>
          <w:cols w:space="425" w:num="1"/>
          <w:docGrid w:type="lines" w:linePitch="312" w:charSpace="0"/>
        </w:sectPr>
      </w:pPr>
    </w:p>
    <w:p w14:paraId="442BF75F">
      <w:pPr>
        <w:spacing w:line="360" w:lineRule="auto"/>
        <w:jc w:val="center"/>
        <w:rPr>
          <w:rFonts w:ascii="黑体" w:eastAsia="黑体"/>
          <w:sz w:val="44"/>
        </w:rPr>
      </w:pPr>
      <w:r>
        <w:rPr>
          <w:rFonts w:hint="eastAsia" w:ascii="黑体" w:eastAsia="黑体"/>
          <w:sz w:val="44"/>
          <w:lang w:eastAsia="zh-CN"/>
        </w:rPr>
        <w:t>汝州市</w:t>
      </w:r>
      <w:r>
        <w:rPr>
          <w:rFonts w:ascii="黑体" w:eastAsia="黑体"/>
          <w:sz w:val="44"/>
        </w:rPr>
        <w:t>202</w:t>
      </w:r>
      <w:r>
        <w:rPr>
          <w:rFonts w:hint="eastAsia" w:ascii="黑体" w:eastAsia="黑体"/>
          <w:sz w:val="44"/>
          <w:lang w:val="en-US" w:eastAsia="zh-CN"/>
        </w:rPr>
        <w:t>5</w:t>
      </w:r>
      <w:r>
        <w:rPr>
          <w:rFonts w:ascii="黑体" w:eastAsia="黑体"/>
          <w:sz w:val="44"/>
        </w:rPr>
        <w:t>年科学施肥增效工作方案</w:t>
      </w:r>
    </w:p>
    <w:p w14:paraId="3BA5060D">
      <w:pPr>
        <w:spacing w:line="360" w:lineRule="auto"/>
      </w:pPr>
    </w:p>
    <w:p w14:paraId="574C19F7">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为深入贯彻落实习近平总书记关于“三农”工作的重要论述，扎实推进</w:t>
      </w:r>
      <w:r>
        <w:rPr>
          <w:rFonts w:hint="eastAsia" w:ascii="Times New Roman" w:hAnsi="Times New Roman" w:eastAsia="仿宋_GB2312" w:cs="Times New Roman"/>
          <w:kern w:val="0"/>
          <w:sz w:val="32"/>
          <w:szCs w:val="32"/>
          <w:lang w:val="en-US" w:eastAsia="zh-CN"/>
        </w:rPr>
        <w:t>科学施肥</w:t>
      </w:r>
      <w:r>
        <w:rPr>
          <w:rFonts w:hint="default" w:ascii="Times New Roman" w:hAnsi="Times New Roman" w:eastAsia="仿宋_GB2312" w:cs="Times New Roman"/>
          <w:kern w:val="0"/>
          <w:sz w:val="32"/>
          <w:szCs w:val="32"/>
        </w:rPr>
        <w:t>增效，加快农业绿色转型</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按照</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河南省</w:t>
      </w:r>
      <w:r>
        <w:rPr>
          <w:rFonts w:hint="eastAsia" w:ascii="Times New Roman" w:hAnsi="Times New Roman" w:eastAsia="仿宋_GB2312" w:cs="Times New Roman"/>
          <w:kern w:val="0"/>
          <w:sz w:val="32"/>
          <w:szCs w:val="32"/>
          <w:lang w:val="en-US" w:eastAsia="zh-CN"/>
        </w:rPr>
        <w:t>2025年科学施肥增效工作方案》要求，</w:t>
      </w:r>
      <w:r>
        <w:rPr>
          <w:rFonts w:hint="default" w:ascii="Times New Roman" w:hAnsi="Times New Roman" w:eastAsia="仿宋_GB2312" w:cs="Times New Roman"/>
          <w:kern w:val="0"/>
          <w:sz w:val="32"/>
          <w:szCs w:val="32"/>
        </w:rPr>
        <w:t>持续推进科学施肥增效行动，做好202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年科学施肥增效有关工作，确保任务落到实处，结合</w:t>
      </w:r>
      <w:r>
        <w:rPr>
          <w:rFonts w:hint="eastAsia" w:ascii="Times New Roman" w:hAnsi="Times New Roman" w:eastAsia="仿宋_GB2312" w:cs="Times New Roman"/>
          <w:kern w:val="0"/>
          <w:sz w:val="32"/>
          <w:szCs w:val="32"/>
          <w:lang w:eastAsia="zh-CN"/>
        </w:rPr>
        <w:t>我市</w:t>
      </w:r>
      <w:r>
        <w:rPr>
          <w:rFonts w:hint="default" w:ascii="Times New Roman" w:hAnsi="Times New Roman" w:eastAsia="仿宋_GB2312" w:cs="Times New Roman"/>
          <w:kern w:val="0"/>
          <w:sz w:val="32"/>
          <w:szCs w:val="32"/>
        </w:rPr>
        <w:t>实际，制定本</w:t>
      </w:r>
      <w:r>
        <w:rPr>
          <w:rFonts w:hint="eastAsia" w:ascii="Times New Roman" w:hAnsi="Times New Roman" w:eastAsia="仿宋_GB2312" w:cs="Times New Roman"/>
          <w:kern w:val="0"/>
          <w:sz w:val="32"/>
          <w:szCs w:val="32"/>
        </w:rPr>
        <w:t>方案。</w:t>
      </w:r>
    </w:p>
    <w:p w14:paraId="68B70B60">
      <w:pPr>
        <w:spacing w:line="360" w:lineRule="auto"/>
        <w:ind w:firstLine="640" w:firstLineChars="200"/>
        <w:rPr>
          <w:rFonts w:hint="default" w:ascii="黑体" w:eastAsia="黑体"/>
        </w:rPr>
      </w:pPr>
      <w:r>
        <w:rPr>
          <w:rFonts w:hint="eastAsia" w:ascii="黑体" w:eastAsia="黑体"/>
        </w:rPr>
        <w:t>一、工作思路</w:t>
      </w:r>
    </w:p>
    <w:p w14:paraId="3EC8CB69">
      <w:pPr>
        <w:spacing w:line="360" w:lineRule="auto"/>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坚持以习近平新时代中国特色社会主义思想和习近平总书记对河南三农工作系列重要指示精神为指导,</w:t>
      </w:r>
      <w:r>
        <w:rPr>
          <w:rFonts w:hint="default" w:ascii="Times New Roman" w:hAnsi="Times New Roman" w:eastAsia="仿宋_GB2312" w:cs="Times New Roman"/>
          <w:kern w:val="0"/>
          <w:sz w:val="32"/>
          <w:szCs w:val="32"/>
          <w:lang w:val="en-US" w:eastAsia="zh-CN"/>
        </w:rPr>
        <w:t xml:space="preserve">全面贯彻党的二十大精神,认真落实省委省政府决策部署,牢固树立新发展理念,以实施乡村振兴战略为统领,以保障粮食安全和重要农产品供给、促进种植业绿色高质量发展为目标,以服务支撑粮油等主要作物大面积单产提升行动为重点,强化政策支持和科技支撑,依托新型经营主体和社会化服务组织,大力推广测土配方施肥技术,持续推进科学施肥增效。 </w:t>
      </w:r>
    </w:p>
    <w:p w14:paraId="7962B396">
      <w:pPr>
        <w:spacing w:line="360" w:lineRule="auto"/>
        <w:ind w:firstLine="640" w:firstLineChars="200"/>
        <w:rPr>
          <w:rFonts w:ascii="黑体" w:eastAsia="黑体"/>
        </w:rPr>
      </w:pPr>
      <w:r>
        <w:rPr>
          <w:rFonts w:hint="eastAsia" w:ascii="黑体" w:eastAsia="黑体"/>
        </w:rPr>
        <w:t>二、工作目标</w:t>
      </w:r>
    </w:p>
    <w:p w14:paraId="3FCE39E7">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巩固提升测土配方施肥基础</w:t>
      </w:r>
      <w:r>
        <w:rPr>
          <w:rFonts w:hint="eastAsia" w:ascii="Times New Roman" w:hAnsi="Times New Roman" w:eastAsia="仿宋_GB2312" w:cs="Times New Roman"/>
          <w:sz w:val="32"/>
          <w:szCs w:val="32"/>
          <w:lang w:eastAsia="zh-CN"/>
        </w:rPr>
        <w:t>工作（任务分解见附件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，突出精准高效，打造测土配方施肥升级版。整</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制推广测土配方施肥技术，完成</w:t>
      </w:r>
      <w:r>
        <w:rPr>
          <w:rFonts w:hint="eastAsia" w:ascii="Times New Roman" w:hAnsi="Times New Roman" w:eastAsia="仿宋_GB2312" w:cs="Times New Roman"/>
          <w:sz w:val="32"/>
          <w:szCs w:val="32"/>
          <w:lang w:val="en-US" w:eastAsia="zh-CN"/>
        </w:rPr>
        <w:t>磷肥品种</w:t>
      </w:r>
      <w:r>
        <w:rPr>
          <w:rFonts w:hint="default" w:ascii="Times New Roman" w:hAnsi="Times New Roman" w:eastAsia="仿宋_GB2312" w:cs="Times New Roman"/>
          <w:sz w:val="32"/>
          <w:szCs w:val="32"/>
        </w:rPr>
        <w:t>、化肥利用率等田间试验</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个，农户施肥调查</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户，更新完善肥料配方，开展科学施肥技术的宣传、培训、指导，深化农企合作机制，落实测土配方施肥技术推广面积不少于</w:t>
      </w:r>
      <w:r>
        <w:rPr>
          <w:rFonts w:hint="default"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万亩次，技术覆盖率保持在90%以上。</w:t>
      </w:r>
    </w:p>
    <w:p w14:paraId="7B53E360">
      <w:pPr>
        <w:spacing w:line="360" w:lineRule="auto"/>
        <w:ind w:firstLine="640" w:firstLineChars="200"/>
        <w:rPr>
          <w:rFonts w:ascii="黑体" w:eastAsia="黑体"/>
        </w:rPr>
      </w:pPr>
      <w:r>
        <w:rPr>
          <w:rFonts w:hint="eastAsia" w:ascii="黑体" w:eastAsia="黑体"/>
        </w:rPr>
        <w:t>三、重点任务</w:t>
      </w:r>
    </w:p>
    <w:p w14:paraId="76B705AB">
      <w:pPr>
        <w:spacing w:line="360" w:lineRule="auto"/>
        <w:ind w:firstLine="640" w:firstLineChars="200"/>
        <w:rPr>
          <w:rFonts w:hint="eastAsia" w:ascii="黑体" w:hAnsi="黑体" w:eastAsia="黑体" w:cs="黑体"/>
          <w:lang w:eastAsia="zh-CN"/>
        </w:rPr>
      </w:pPr>
      <w:r>
        <w:rPr>
          <w:rFonts w:hint="eastAsia" w:ascii="黑体" w:hAnsi="黑体" w:eastAsia="黑体" w:cs="黑体"/>
          <w:lang w:eastAsia="zh-CN"/>
        </w:rPr>
        <w:t>（一）巩固提升测土配方施肥</w:t>
      </w:r>
    </w:p>
    <w:p w14:paraId="2561E91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做好肥效田间试验。科学合理布设小麦、玉米化肥利用率田间试验</w:t>
      </w:r>
      <w:r>
        <w:rPr>
          <w:rFonts w:hint="eastAsia" w:ascii="Times New Roman" w:hAnsi="Times New Roman" w:eastAsia="仿宋_GB2312" w:cs="Times New Roman"/>
          <w:sz w:val="32"/>
          <w:szCs w:val="32"/>
          <w:lang w:eastAsia="zh-CN"/>
        </w:rPr>
        <w:t>、磷肥品种</w:t>
      </w:r>
      <w:r>
        <w:rPr>
          <w:rFonts w:hint="eastAsia" w:ascii="Times New Roman" w:hAnsi="Times New Roman" w:eastAsia="仿宋_GB2312" w:cs="Times New Roman"/>
          <w:sz w:val="32"/>
          <w:szCs w:val="32"/>
        </w:rPr>
        <w:t>田间试验及相关田间示范，</w:t>
      </w:r>
      <w:r>
        <w:rPr>
          <w:rFonts w:hint="default" w:ascii="Times New Roman" w:hAnsi="Times New Roman" w:eastAsia="仿宋_GB2312" w:cs="Times New Roman"/>
          <w:sz w:val="32"/>
          <w:szCs w:val="32"/>
        </w:rPr>
        <w:t xml:space="preserve">加强长期监测试验的结果汇总和数据分析。加强肥料施用、田间管理、样品采集、测产分析等全环节技术指导和质量控制,及时、准确在测土配方施肥数据管理系统填报相关试验数据,为优化肥料配方和施肥方案提供支撑。 </w:t>
      </w:r>
    </w:p>
    <w:p w14:paraId="42D1ED63">
      <w:pPr>
        <w:spacing w:line="360" w:lineRule="auto"/>
        <w:ind w:firstLine="640" w:firstLineChars="200"/>
        <w:rPr>
          <w:rFonts w:hint="eastAsia" w:ascii="黑体" w:hAnsi="黑体" w:eastAsia="黑体" w:cs="黑体"/>
          <w:lang w:eastAsia="zh-CN"/>
        </w:rPr>
      </w:pPr>
      <w:r>
        <w:rPr>
          <w:rFonts w:hint="eastAsia" w:ascii="黑体" w:hAnsi="黑体" w:eastAsia="黑体" w:cs="黑体"/>
          <w:lang w:eastAsia="zh-CN"/>
        </w:rPr>
        <w:t>（二）做好农户施肥情况调查</w:t>
      </w:r>
    </w:p>
    <w:p w14:paraId="7AFC4B41">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综合作物类型、种植制度、施肥主体等因素,以新型经营主体为主,兼顾小农户,科学合理安排农户施肥情况调查点位。结合全国肥料节水专业统计,开展农户施肥情况和肥料使用效果调查监测。</w:t>
      </w:r>
    </w:p>
    <w:p w14:paraId="5F60988C">
      <w:pPr>
        <w:spacing w:line="360" w:lineRule="auto"/>
        <w:ind w:firstLine="640" w:firstLineChars="200"/>
        <w:rPr>
          <w:rFonts w:hint="eastAsia" w:ascii="黑体" w:hAnsi="黑体" w:eastAsia="黑体" w:cs="黑体"/>
          <w:lang w:eastAsia="zh-CN"/>
        </w:rPr>
      </w:pPr>
      <w:r>
        <w:rPr>
          <w:rFonts w:hint="eastAsia" w:ascii="黑体" w:hAnsi="黑体" w:eastAsia="黑体" w:cs="黑体"/>
          <w:lang w:eastAsia="zh-CN"/>
        </w:rPr>
        <w:t>（三）推进信息化精准施肥服务</w:t>
      </w:r>
    </w:p>
    <w:p w14:paraId="39C141A6">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运用大数据分析手段,在春耕、三夏、秋冬种关键农时,深入挖掘测土配方施肥、田间试验、农户调查等数据,持续更新完善主要农作物施肥指标体系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制定发布主要农作物科学施肥技术指导意见，通过信息化形式，解读科学施肥技术要点和注意事项，推介典型模式，指导科学选肥用肥。</w:t>
      </w:r>
    </w:p>
    <w:p w14:paraId="11FE1AAC">
      <w:pPr>
        <w:spacing w:line="360" w:lineRule="auto"/>
        <w:ind w:firstLine="640" w:firstLineChars="200"/>
        <w:rPr>
          <w:rFonts w:hint="eastAsia" w:ascii="黑体" w:hAnsi="黑体" w:eastAsia="黑体" w:cs="黑体"/>
          <w:lang w:eastAsia="zh-CN"/>
        </w:rPr>
      </w:pPr>
      <w:r>
        <w:rPr>
          <w:rFonts w:hint="eastAsia" w:ascii="黑体" w:hAnsi="黑体" w:eastAsia="黑体" w:cs="黑体"/>
          <w:lang w:eastAsia="zh-CN"/>
        </w:rPr>
        <w:t xml:space="preserve">（四）持续开展培训宣传 </w:t>
      </w:r>
    </w:p>
    <w:p w14:paraId="5D7D2221">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继续开展 “</w:t>
      </w:r>
      <w:r>
        <w:rPr>
          <w:rFonts w:hint="default" w:ascii="Times New Roman" w:hAnsi="Times New Roman" w:eastAsia="仿宋_GB2312" w:cs="Times New Roman"/>
          <w:sz w:val="32"/>
          <w:szCs w:val="32"/>
          <w:lang w:val="en-US" w:eastAsia="zh-CN"/>
        </w:rPr>
        <w:t>百县千乡万户”科学施肥培训行动和 “百名专家 联百县”科学施肥指导行动,强化推广、科研、教学、协会、企业等力量联动协作,采取田间讲堂、室内教学等形式开展技术培训,在关键农时季节深入田间地头开展技术指导。深入开展科学认识化肥作用主题宣传,广泛征集各地在科学施肥政 策制度、科技创新、技术推广等方面的好做法好经验,以规模化新型经营主体为重点,打造科学施肥技术宣传推广示范区,挖掘推介一批典型案例,通过</w:t>
      </w:r>
      <w:r>
        <w:rPr>
          <w:rFonts w:hint="eastAsia" w:ascii="Times New Roman" w:hAnsi="Times New Roman" w:eastAsia="仿宋_GB2312" w:cs="Times New Roman"/>
          <w:sz w:val="32"/>
          <w:szCs w:val="32"/>
          <w:lang w:val="en-US" w:eastAsia="zh-CN"/>
        </w:rPr>
        <w:t>各类</w:t>
      </w:r>
      <w:r>
        <w:rPr>
          <w:rFonts w:hint="default" w:ascii="Times New Roman" w:hAnsi="Times New Roman" w:eastAsia="仿宋_GB2312" w:cs="Times New Roman"/>
          <w:sz w:val="32"/>
          <w:szCs w:val="32"/>
          <w:lang w:val="en-US" w:eastAsia="zh-CN"/>
        </w:rPr>
        <w:t>媒体宣广,营造良好舆论氛围。</w:t>
      </w:r>
    </w:p>
    <w:p w14:paraId="257157ED">
      <w:pPr>
        <w:spacing w:line="360" w:lineRule="auto"/>
        <w:ind w:firstLine="640" w:firstLineChars="200"/>
        <w:rPr>
          <w:rFonts w:ascii="黑体" w:eastAsia="黑体"/>
        </w:rPr>
      </w:pPr>
      <w:r>
        <w:rPr>
          <w:rFonts w:hint="eastAsia" w:ascii="黑体" w:eastAsia="黑体"/>
        </w:rPr>
        <w:t>四、有关要求</w:t>
      </w:r>
    </w:p>
    <w:p w14:paraId="5B562F1E">
      <w:pPr>
        <w:spacing w:line="360" w:lineRule="auto"/>
        <w:ind w:firstLine="640" w:firstLineChars="200"/>
        <w:rPr>
          <w:rFonts w:hint="eastAsia" w:ascii="黑体" w:hAnsi="黑体" w:eastAsia="黑体" w:cs="黑体"/>
          <w:lang w:eastAsia="zh-CN"/>
        </w:rPr>
      </w:pPr>
      <w:r>
        <w:rPr>
          <w:rFonts w:hint="eastAsia" w:ascii="黑体" w:hAnsi="黑体" w:eastAsia="黑体" w:cs="黑体"/>
          <w:lang w:eastAsia="zh-CN"/>
        </w:rPr>
        <w:t>（一）加强组织领导</w:t>
      </w:r>
    </w:p>
    <w:p w14:paraId="1CCF8AFE">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落实“省负总责、市级推动、县抓落实”的责任机制。成立汝州市2025年科学施肥增效工作领导小组及技术小组（见附件2），领导小组下设办公室，</w:t>
      </w:r>
      <w:r>
        <w:rPr>
          <w:rFonts w:hint="default" w:ascii="Times New Roman" w:hAnsi="Times New Roman" w:eastAsia="仿宋_GB2312" w:cs="Times New Roman"/>
          <w:sz w:val="32"/>
          <w:szCs w:val="32"/>
          <w:lang w:val="en-US" w:eastAsia="zh-CN"/>
        </w:rPr>
        <w:t>办公室设在汝州市</w:t>
      </w:r>
      <w:r>
        <w:rPr>
          <w:rFonts w:hint="eastAsia" w:ascii="Times New Roman" w:hAnsi="Times New Roman" w:eastAsia="仿宋_GB2312" w:cs="Times New Roman"/>
          <w:sz w:val="32"/>
          <w:szCs w:val="32"/>
          <w:lang w:val="en-US" w:eastAsia="zh-CN"/>
        </w:rPr>
        <w:t>农业农村局农田建设科，统筹负责全市科学施肥增效工作的开展和实施；技术小组负责项目实施具体工作和全程技术指导，解决项目实施技术难题。明确职责，合理分工，细化工作流程，落实专人管理，确保各项任务落到实处。</w:t>
      </w:r>
    </w:p>
    <w:p w14:paraId="31CACE3F">
      <w:pPr>
        <w:spacing w:line="360" w:lineRule="auto"/>
        <w:ind w:firstLine="640" w:firstLineChars="200"/>
        <w:rPr>
          <w:rFonts w:hint="eastAsia" w:ascii="黑体" w:hAnsi="黑体" w:eastAsia="黑体" w:cs="黑体"/>
          <w:lang w:eastAsia="zh-CN"/>
        </w:rPr>
      </w:pPr>
      <w:r>
        <w:rPr>
          <w:rFonts w:hint="eastAsia" w:ascii="黑体" w:hAnsi="黑体" w:eastAsia="黑体" w:cs="黑体"/>
          <w:lang w:eastAsia="zh-CN"/>
        </w:rPr>
        <w:t>（二）规范资金使用</w:t>
      </w:r>
    </w:p>
    <w:p w14:paraId="7AEDFB3A">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项目资金主要用于测土配方施肥基础工作和技术宣传培训指导补助，严格按照相关要求，强化资金使用监管、提升资金使用透明度，做好资金预算（见附件3）。</w:t>
      </w:r>
    </w:p>
    <w:p w14:paraId="2133BAF5">
      <w:pPr>
        <w:spacing w:line="360" w:lineRule="auto"/>
        <w:ind w:firstLine="640" w:firstLineChars="200"/>
        <w:rPr>
          <w:rFonts w:hint="default" w:ascii="黑体" w:hAnsi="黑体" w:eastAsia="黑体" w:cs="黑体"/>
          <w:lang w:eastAsia="zh-CN"/>
        </w:rPr>
      </w:pPr>
      <w:r>
        <w:rPr>
          <w:rFonts w:hint="eastAsia" w:ascii="黑体" w:hAnsi="黑体" w:eastAsia="黑体" w:cs="黑体"/>
          <w:lang w:eastAsia="zh-CN"/>
        </w:rPr>
        <w:t>（三）</w:t>
      </w:r>
      <w:r>
        <w:rPr>
          <w:rFonts w:hint="default" w:ascii="黑体" w:hAnsi="黑体" w:eastAsia="黑体" w:cs="黑体"/>
          <w:lang w:eastAsia="zh-CN"/>
        </w:rPr>
        <w:t xml:space="preserve">加强数据管理 </w:t>
      </w:r>
    </w:p>
    <w:p w14:paraId="2558B65F">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及时填报土壤测试化验</w:t>
      </w:r>
      <w:r>
        <w:rPr>
          <w:rFonts w:hint="default" w:ascii="Times New Roman" w:hAnsi="Times New Roman" w:eastAsia="仿宋_GB2312" w:cs="Times New Roman"/>
          <w:sz w:val="32"/>
          <w:szCs w:val="32"/>
          <w:lang w:val="en-US" w:eastAsia="zh-CN"/>
        </w:rPr>
        <w:t>、田间试验监测、农户施肥调查等数据,加强数据逐级审核,重点审核数据的科学性、合理性。强化 数据分析,充分利用大数据、云计算、人工智能等信息化手段, 完善测土配方施肥数据库应用功能。严格落实国家信息安全有关要求,未经允许不得擅自将科学施肥相关数据提供给其他单位和个人。</w:t>
      </w:r>
    </w:p>
    <w:p w14:paraId="45511008">
      <w:pPr>
        <w:spacing w:line="360" w:lineRule="auto"/>
        <w:ind w:firstLine="640" w:firstLineChars="200"/>
        <w:rPr>
          <w:rFonts w:hint="eastAsia" w:ascii="黑体" w:hAnsi="黑体" w:eastAsia="黑体" w:cs="黑体"/>
          <w:lang w:eastAsia="zh-CN"/>
        </w:rPr>
      </w:pPr>
      <w:r>
        <w:rPr>
          <w:rFonts w:hint="eastAsia" w:ascii="黑体" w:hAnsi="黑体" w:eastAsia="黑体" w:cs="黑体"/>
          <w:lang w:eastAsia="zh-CN"/>
        </w:rPr>
        <w:t>（四）强化日常管理</w:t>
      </w:r>
    </w:p>
    <w:p w14:paraId="36B2328E">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建立健全项目管理机制</w:t>
      </w:r>
      <w:r>
        <w:rPr>
          <w:rFonts w:hint="default" w:ascii="Times New Roman" w:hAnsi="Times New Roman" w:eastAsia="仿宋_GB2312" w:cs="Times New Roman"/>
          <w:sz w:val="32"/>
          <w:szCs w:val="32"/>
          <w:lang w:val="en-US" w:eastAsia="zh-CN"/>
        </w:rPr>
        <w:t>,建立责任明确、主体积极、多方参与、监管有效的工作机制。</w:t>
      </w:r>
      <w:r>
        <w:rPr>
          <w:rFonts w:hint="eastAsia" w:ascii="Times New Roman" w:hAnsi="Times New Roman" w:eastAsia="仿宋_GB2312" w:cs="Times New Roman"/>
          <w:sz w:val="32"/>
          <w:szCs w:val="32"/>
          <w:lang w:val="en-US" w:eastAsia="zh-CN"/>
        </w:rPr>
        <w:t>严格落实“一月一调度”制度，适时调度、报送项目执行进度和实施成效。建立责任明确、主体积极、多方参与、监管有效的工作机制。加快资金使用进度，及时在农业农村部转移支付管理平台中填报进展情况。</w:t>
      </w:r>
    </w:p>
    <w:p w14:paraId="1C9B3AE4">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14:paraId="6DCA1E45">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附件：1、汝州市2025年科学施肥增效任务表</w:t>
      </w:r>
    </w:p>
    <w:p w14:paraId="0897DDD8">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2、工作领导小组及技术小组</w:t>
      </w:r>
    </w:p>
    <w:p w14:paraId="205EE43B">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3、资金预算表</w:t>
      </w:r>
    </w:p>
    <w:p w14:paraId="5C2FB41A"/>
    <w:p w14:paraId="651E7475">
      <w:pPr>
        <w:pStyle w:val="2"/>
      </w:pPr>
    </w:p>
    <w:p w14:paraId="6194372D"/>
    <w:p w14:paraId="7C2BE498">
      <w:pPr>
        <w:pStyle w:val="2"/>
      </w:pPr>
    </w:p>
    <w:p w14:paraId="02E8CEC9">
      <w:pPr>
        <w:sectPr>
          <w:pgSz w:w="11906" w:h="16838"/>
          <w:pgMar w:top="1440" w:right="1800" w:bottom="1440" w:left="1800" w:header="851" w:footer="992" w:gutter="0"/>
          <w:cols w:space="425" w:num="1"/>
          <w:docGrid w:type="lines" w:linePitch="312" w:charSpace="0"/>
        </w:sectPr>
      </w:pPr>
    </w:p>
    <w:p w14:paraId="3E3CB862">
      <w:pPr>
        <w:spacing w:line="360" w:lineRule="auto"/>
        <w:jc w:val="left"/>
        <w:rPr>
          <w:rFonts w:hint="eastAsia" w:ascii="黑体" w:eastAsia="黑体" w:cs="方正小标宋简体"/>
          <w:szCs w:val="32"/>
          <w:lang w:val="en-US" w:eastAsia="zh-CN"/>
        </w:rPr>
      </w:pPr>
      <w:r>
        <w:rPr>
          <w:rFonts w:hint="eastAsia" w:ascii="黑体" w:eastAsia="黑体" w:cs="方正小标宋简体"/>
          <w:szCs w:val="32"/>
          <w:lang w:eastAsia="zh-CN"/>
        </w:rPr>
        <w:t>附件</w:t>
      </w:r>
      <w:r>
        <w:rPr>
          <w:rFonts w:hint="eastAsia" w:ascii="黑体" w:eastAsia="黑体" w:cs="方正小标宋简体"/>
          <w:szCs w:val="32"/>
          <w:lang w:val="en-US" w:eastAsia="zh-CN"/>
        </w:rPr>
        <w:t>1：</w:t>
      </w:r>
    </w:p>
    <w:p w14:paraId="5DE25112">
      <w:pPr>
        <w:spacing w:line="360" w:lineRule="auto"/>
        <w:jc w:val="center"/>
        <w:rPr>
          <w:rFonts w:ascii="黑体" w:eastAsia="黑体" w:cs="方正小标宋简体"/>
          <w:szCs w:val="32"/>
        </w:rPr>
      </w:pPr>
      <w:r>
        <w:rPr>
          <w:rFonts w:hint="eastAsia" w:ascii="黑体" w:eastAsia="黑体" w:cs="方正小标宋简体"/>
          <w:szCs w:val="32"/>
          <w:lang w:eastAsia="zh-CN"/>
        </w:rPr>
        <w:t>汝州市</w:t>
      </w:r>
      <w:r>
        <w:rPr>
          <w:rFonts w:hint="eastAsia" w:ascii="黑体" w:eastAsia="黑体" w:cs="方正小标宋简体"/>
          <w:szCs w:val="32"/>
        </w:rPr>
        <w:t>202</w:t>
      </w:r>
      <w:r>
        <w:rPr>
          <w:rFonts w:hint="eastAsia" w:ascii="黑体" w:eastAsia="黑体" w:cs="方正小标宋简体"/>
          <w:szCs w:val="32"/>
          <w:lang w:val="en-US" w:eastAsia="zh-CN"/>
        </w:rPr>
        <w:t>5</w:t>
      </w:r>
      <w:r>
        <w:rPr>
          <w:rFonts w:hint="eastAsia" w:ascii="黑体" w:eastAsia="黑体" w:cs="方正小标宋简体"/>
          <w:szCs w:val="32"/>
        </w:rPr>
        <w:t>年科学施肥增效任务表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133"/>
        <w:gridCol w:w="905"/>
        <w:gridCol w:w="809"/>
        <w:gridCol w:w="778"/>
        <w:gridCol w:w="778"/>
        <w:gridCol w:w="716"/>
        <w:gridCol w:w="963"/>
        <w:gridCol w:w="791"/>
        <w:gridCol w:w="791"/>
        <w:gridCol w:w="718"/>
        <w:gridCol w:w="674"/>
        <w:gridCol w:w="853"/>
        <w:gridCol w:w="826"/>
        <w:gridCol w:w="1119"/>
        <w:gridCol w:w="795"/>
        <w:gridCol w:w="734"/>
      </w:tblGrid>
      <w:tr w14:paraId="61B1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tblHeader/>
        </w:trPr>
        <w:tc>
          <w:tcPr>
            <w:tcW w:w="791" w:type="dxa"/>
            <w:vMerge w:val="restart"/>
            <w:vAlign w:val="center"/>
          </w:tcPr>
          <w:p w14:paraId="064EB5DF">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项目县（市、区）</w:t>
            </w:r>
          </w:p>
        </w:tc>
        <w:tc>
          <w:tcPr>
            <w:tcW w:w="0" w:type="auto"/>
            <w:vMerge w:val="restart"/>
            <w:vAlign w:val="center"/>
          </w:tcPr>
          <w:p w14:paraId="3DE91DD8">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“三新</w:t>
            </w:r>
            <w:r>
              <w:rPr>
                <w:rFonts w:hint="default" w:hAnsi="仿宋" w:cs="黑体"/>
                <w:b/>
                <w:bCs/>
                <w:color w:val="000000"/>
                <w:sz w:val="15"/>
                <w:szCs w:val="15"/>
                <w:lang w:bidi="ar"/>
              </w:rPr>
              <w:t>” 集成 推进县 示范 作物及 面积 (万亩)</w:t>
            </w:r>
          </w:p>
        </w:tc>
        <w:tc>
          <w:tcPr>
            <w:tcW w:w="0" w:type="auto"/>
            <w:vMerge w:val="restart"/>
            <w:vAlign w:val="center"/>
          </w:tcPr>
          <w:p w14:paraId="70BD95B7">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大豆 根瘤菌 菌剂 接种 面积 (</w:t>
            </w:r>
            <w:r>
              <w:rPr>
                <w:rFonts w:hint="default" w:hAnsi="仿宋" w:cs="黑体"/>
                <w:b/>
                <w:bCs/>
                <w:color w:val="000000"/>
                <w:sz w:val="15"/>
                <w:szCs w:val="15"/>
                <w:lang w:bidi="ar"/>
              </w:rPr>
              <w:t>万亩)</w:t>
            </w:r>
          </w:p>
        </w:tc>
        <w:tc>
          <w:tcPr>
            <w:tcW w:w="0" w:type="auto"/>
            <w:gridSpan w:val="5"/>
            <w:vAlign w:val="center"/>
          </w:tcPr>
          <w:p w14:paraId="76828CA9">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田间试验种类及数量</w:t>
            </w:r>
          </w:p>
        </w:tc>
        <w:tc>
          <w:tcPr>
            <w:tcW w:w="0" w:type="auto"/>
            <w:vMerge w:val="restart"/>
            <w:vAlign w:val="center"/>
          </w:tcPr>
          <w:p w14:paraId="08348CE5">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农户调查（户）</w:t>
            </w:r>
          </w:p>
        </w:tc>
        <w:tc>
          <w:tcPr>
            <w:tcW w:w="0" w:type="auto"/>
            <w:vMerge w:val="restart"/>
            <w:vAlign w:val="center"/>
          </w:tcPr>
          <w:p w14:paraId="798AB204">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肥力评价（套）</w:t>
            </w:r>
          </w:p>
        </w:tc>
        <w:tc>
          <w:tcPr>
            <w:tcW w:w="0" w:type="auto"/>
            <w:vMerge w:val="restart"/>
            <w:vAlign w:val="center"/>
          </w:tcPr>
          <w:p w14:paraId="06F86C94">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施肥指导意见 (</w:t>
            </w:r>
            <w:r>
              <w:rPr>
                <w:rFonts w:hint="default" w:hAnsi="仿宋" w:cs="黑体"/>
                <w:b/>
                <w:bCs/>
                <w:color w:val="000000"/>
                <w:sz w:val="15"/>
                <w:szCs w:val="15"/>
                <w:lang w:bidi="ar"/>
              </w:rPr>
              <w:t>套)</w:t>
            </w:r>
          </w:p>
        </w:tc>
        <w:tc>
          <w:tcPr>
            <w:tcW w:w="0" w:type="auto"/>
            <w:vMerge w:val="restart"/>
            <w:vAlign w:val="center"/>
          </w:tcPr>
          <w:p w14:paraId="23E927C5">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施肥 建议卡 (</w:t>
            </w:r>
            <w:r>
              <w:rPr>
                <w:rFonts w:hint="default" w:hAnsi="仿宋" w:cs="黑体"/>
                <w:b/>
                <w:bCs/>
                <w:color w:val="000000"/>
                <w:sz w:val="15"/>
                <w:szCs w:val="15"/>
                <w:lang w:bidi="ar"/>
              </w:rPr>
              <w:t>万份)</w:t>
            </w:r>
          </w:p>
        </w:tc>
        <w:tc>
          <w:tcPr>
            <w:tcW w:w="0" w:type="auto"/>
            <w:gridSpan w:val="5"/>
            <w:vAlign w:val="center"/>
          </w:tcPr>
          <w:p w14:paraId="353AF80A">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宣传培训指导</w:t>
            </w:r>
          </w:p>
        </w:tc>
      </w:tr>
      <w:tr w14:paraId="725C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blHeader/>
        </w:trPr>
        <w:tc>
          <w:tcPr>
            <w:tcW w:w="791" w:type="dxa"/>
            <w:vMerge w:val="continue"/>
            <w:vAlign w:val="center"/>
          </w:tcPr>
          <w:p w14:paraId="6E6B743E">
            <w:pPr>
              <w:widowControl/>
              <w:jc w:val="center"/>
              <w:textAlignment w:val="center"/>
              <w:rPr>
                <w:rFonts w:hAnsi="仿宋" w:cs="黑体"/>
                <w:b/>
                <w:bCs/>
                <w:color w:val="000000"/>
                <w:sz w:val="15"/>
                <w:szCs w:val="15"/>
                <w:lang w:bidi="ar"/>
              </w:rPr>
            </w:pPr>
          </w:p>
        </w:tc>
        <w:tc>
          <w:tcPr>
            <w:tcW w:w="0" w:type="auto"/>
            <w:vMerge w:val="continue"/>
            <w:vAlign w:val="center"/>
          </w:tcPr>
          <w:p w14:paraId="6C66AE5C">
            <w:pPr>
              <w:widowControl/>
              <w:jc w:val="center"/>
              <w:textAlignment w:val="center"/>
              <w:rPr>
                <w:rFonts w:hAnsi="仿宋" w:cs="黑体"/>
                <w:b/>
                <w:bCs/>
                <w:color w:val="000000"/>
                <w:sz w:val="15"/>
                <w:szCs w:val="15"/>
                <w:lang w:bidi="ar"/>
              </w:rPr>
            </w:pPr>
          </w:p>
        </w:tc>
        <w:tc>
          <w:tcPr>
            <w:tcW w:w="0" w:type="auto"/>
            <w:vMerge w:val="continue"/>
            <w:vAlign w:val="center"/>
          </w:tcPr>
          <w:p w14:paraId="60F3BD46">
            <w:pPr>
              <w:widowControl/>
              <w:jc w:val="center"/>
              <w:textAlignment w:val="center"/>
              <w:rPr>
                <w:rFonts w:hAnsi="仿宋" w:cs="黑体"/>
                <w:b/>
                <w:bCs/>
                <w:color w:val="000000"/>
                <w:sz w:val="15"/>
                <w:szCs w:val="15"/>
                <w:lang w:bidi="ar"/>
              </w:rPr>
            </w:pPr>
          </w:p>
        </w:tc>
        <w:tc>
          <w:tcPr>
            <w:tcW w:w="0" w:type="auto"/>
            <w:vAlign w:val="center"/>
          </w:tcPr>
          <w:p w14:paraId="7A6E71FD">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化肥利用率试验(个）</w:t>
            </w:r>
          </w:p>
        </w:tc>
        <w:tc>
          <w:tcPr>
            <w:tcW w:w="0" w:type="auto"/>
            <w:vAlign w:val="center"/>
          </w:tcPr>
          <w:p w14:paraId="65978260">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磷肥品种试验(个）</w:t>
            </w:r>
          </w:p>
        </w:tc>
        <w:tc>
          <w:tcPr>
            <w:tcW w:w="0" w:type="auto"/>
            <w:vAlign w:val="center"/>
          </w:tcPr>
          <w:p w14:paraId="4CC2AE56">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配方校正试验(个）</w:t>
            </w:r>
          </w:p>
        </w:tc>
        <w:tc>
          <w:tcPr>
            <w:tcW w:w="0" w:type="auto"/>
            <w:vAlign w:val="center"/>
          </w:tcPr>
          <w:p w14:paraId="70377629">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肥料效应(个）</w:t>
            </w:r>
          </w:p>
        </w:tc>
        <w:tc>
          <w:tcPr>
            <w:tcW w:w="0" w:type="auto"/>
            <w:vAlign w:val="center"/>
          </w:tcPr>
          <w:p w14:paraId="30DB040F">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“三新”集成技术模式试验(个）</w:t>
            </w:r>
          </w:p>
        </w:tc>
        <w:tc>
          <w:tcPr>
            <w:tcW w:w="0" w:type="auto"/>
            <w:vMerge w:val="continue"/>
            <w:vAlign w:val="center"/>
          </w:tcPr>
          <w:p w14:paraId="6FD296E0">
            <w:pPr>
              <w:widowControl/>
              <w:jc w:val="center"/>
              <w:textAlignment w:val="center"/>
              <w:rPr>
                <w:rFonts w:hAnsi="仿宋" w:cs="黑体"/>
                <w:b/>
                <w:bCs/>
                <w:color w:val="000000"/>
                <w:sz w:val="15"/>
                <w:szCs w:val="15"/>
                <w:lang w:bidi="ar"/>
              </w:rPr>
            </w:pPr>
          </w:p>
        </w:tc>
        <w:tc>
          <w:tcPr>
            <w:tcW w:w="0" w:type="auto"/>
            <w:vMerge w:val="continue"/>
            <w:vAlign w:val="center"/>
          </w:tcPr>
          <w:p w14:paraId="369F2AC3">
            <w:pPr>
              <w:widowControl/>
              <w:jc w:val="center"/>
              <w:textAlignment w:val="center"/>
              <w:rPr>
                <w:rFonts w:hAnsi="仿宋" w:cs="黑体"/>
                <w:b/>
                <w:bCs/>
                <w:color w:val="000000"/>
                <w:sz w:val="15"/>
                <w:szCs w:val="15"/>
                <w:lang w:bidi="ar"/>
              </w:rPr>
            </w:pPr>
          </w:p>
        </w:tc>
        <w:tc>
          <w:tcPr>
            <w:tcW w:w="0" w:type="auto"/>
            <w:vMerge w:val="continue"/>
            <w:vAlign w:val="center"/>
          </w:tcPr>
          <w:p w14:paraId="2425A48C">
            <w:pPr>
              <w:widowControl/>
              <w:jc w:val="center"/>
              <w:textAlignment w:val="center"/>
              <w:rPr>
                <w:rFonts w:hAnsi="仿宋" w:cs="黑体"/>
                <w:b/>
                <w:bCs/>
                <w:color w:val="000000"/>
                <w:sz w:val="15"/>
                <w:szCs w:val="15"/>
                <w:lang w:bidi="ar"/>
              </w:rPr>
            </w:pPr>
          </w:p>
        </w:tc>
        <w:tc>
          <w:tcPr>
            <w:tcW w:w="0" w:type="auto"/>
            <w:vMerge w:val="continue"/>
            <w:vAlign w:val="center"/>
          </w:tcPr>
          <w:p w14:paraId="0E2174F9">
            <w:pPr>
              <w:widowControl/>
              <w:jc w:val="center"/>
              <w:textAlignment w:val="center"/>
              <w:rPr>
                <w:rFonts w:hAnsi="仿宋" w:cs="黑体"/>
                <w:b/>
                <w:bCs/>
                <w:color w:val="000000"/>
                <w:sz w:val="15"/>
                <w:szCs w:val="15"/>
                <w:lang w:bidi="ar"/>
              </w:rPr>
            </w:pPr>
          </w:p>
        </w:tc>
        <w:tc>
          <w:tcPr>
            <w:tcW w:w="0" w:type="auto"/>
            <w:vAlign w:val="center"/>
          </w:tcPr>
          <w:p w14:paraId="153156D7">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主流媒体宣传（条）</w:t>
            </w:r>
          </w:p>
        </w:tc>
        <w:tc>
          <w:tcPr>
            <w:tcW w:w="0" w:type="auto"/>
            <w:vAlign w:val="center"/>
          </w:tcPr>
          <w:p w14:paraId="6156B926">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现场技术指导服务（场次）</w:t>
            </w:r>
          </w:p>
        </w:tc>
        <w:tc>
          <w:tcPr>
            <w:tcW w:w="0" w:type="auto"/>
            <w:vAlign w:val="center"/>
          </w:tcPr>
          <w:p w14:paraId="3EDB4224">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 xml:space="preserve">培训 基层 技术 人员、 </w:t>
            </w:r>
            <w:r>
              <w:rPr>
                <w:rFonts w:hint="default" w:hAnsi="仿宋" w:cs="黑体"/>
                <w:b/>
                <w:bCs/>
                <w:color w:val="000000"/>
                <w:sz w:val="15"/>
                <w:szCs w:val="15"/>
                <w:lang w:bidi="ar"/>
              </w:rPr>
              <w:t>新型 经营 主体 (人次)</w:t>
            </w:r>
          </w:p>
        </w:tc>
        <w:tc>
          <w:tcPr>
            <w:tcW w:w="0" w:type="auto"/>
            <w:vAlign w:val="center"/>
          </w:tcPr>
          <w:p w14:paraId="1077C6A7">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培训肥料经销商（人次）</w:t>
            </w:r>
          </w:p>
        </w:tc>
        <w:tc>
          <w:tcPr>
            <w:tcW w:w="0" w:type="auto"/>
            <w:vAlign w:val="center"/>
          </w:tcPr>
          <w:p w14:paraId="3FC55A67">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培训农民（万人次）</w:t>
            </w:r>
          </w:p>
        </w:tc>
      </w:tr>
      <w:tr w14:paraId="5908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91" w:type="dxa"/>
            <w:noWrap/>
            <w:vAlign w:val="center"/>
          </w:tcPr>
          <w:p w14:paraId="18915C26">
            <w:pPr>
              <w:widowControl/>
              <w:jc w:val="center"/>
              <w:textAlignment w:val="center"/>
              <w:rPr>
                <w:rFonts w:hint="eastAsia" w:hAnsi="仿宋" w:cs="黑体"/>
                <w:b/>
                <w:bCs/>
                <w:color w:val="000000"/>
                <w:sz w:val="15"/>
                <w:szCs w:val="15"/>
                <w:lang w:eastAsia="zh-CN" w:bidi="ar"/>
              </w:rPr>
            </w:pPr>
            <w:r>
              <w:rPr>
                <w:rFonts w:hint="eastAsia" w:hAnsi="仿宋" w:cs="黑体"/>
                <w:b/>
                <w:bCs/>
                <w:color w:val="000000"/>
                <w:sz w:val="15"/>
                <w:szCs w:val="15"/>
                <w:lang w:eastAsia="zh-CN" w:bidi="ar"/>
              </w:rPr>
              <w:t>汝州市</w:t>
            </w:r>
          </w:p>
        </w:tc>
        <w:tc>
          <w:tcPr>
            <w:tcW w:w="0" w:type="auto"/>
            <w:noWrap/>
            <w:vAlign w:val="center"/>
          </w:tcPr>
          <w:p w14:paraId="4C3BF4F0">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0</w:t>
            </w:r>
          </w:p>
        </w:tc>
        <w:tc>
          <w:tcPr>
            <w:tcW w:w="0" w:type="auto"/>
            <w:noWrap/>
            <w:vAlign w:val="center"/>
          </w:tcPr>
          <w:p w14:paraId="7875C552">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0</w:t>
            </w:r>
          </w:p>
        </w:tc>
        <w:tc>
          <w:tcPr>
            <w:tcW w:w="0" w:type="auto"/>
            <w:noWrap/>
            <w:vAlign w:val="center"/>
          </w:tcPr>
          <w:p w14:paraId="6EE4B0F9">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2</w:t>
            </w:r>
          </w:p>
        </w:tc>
        <w:tc>
          <w:tcPr>
            <w:tcW w:w="0" w:type="auto"/>
            <w:noWrap/>
            <w:vAlign w:val="center"/>
          </w:tcPr>
          <w:p w14:paraId="13B108FE">
            <w:pPr>
              <w:widowControl/>
              <w:jc w:val="center"/>
              <w:textAlignment w:val="center"/>
              <w:rPr>
                <w:rFonts w:hint="eastAsia" w:hAnsi="仿宋" w:cs="黑体"/>
                <w:b/>
                <w:bCs/>
                <w:color w:val="000000"/>
                <w:sz w:val="15"/>
                <w:szCs w:val="15"/>
                <w:lang w:eastAsia="zh-CN" w:bidi="ar"/>
              </w:rPr>
            </w:pPr>
            <w:r>
              <w:rPr>
                <w:rFonts w:hint="eastAsia" w:hAnsi="仿宋" w:cs="黑体"/>
                <w:b/>
                <w:bCs/>
                <w:color w:val="000000"/>
                <w:sz w:val="15"/>
                <w:szCs w:val="15"/>
                <w:lang w:val="en-US" w:eastAsia="zh-CN" w:bidi="ar"/>
              </w:rPr>
              <w:t>1</w:t>
            </w:r>
          </w:p>
        </w:tc>
        <w:tc>
          <w:tcPr>
            <w:tcW w:w="0" w:type="auto"/>
            <w:noWrap/>
            <w:vAlign w:val="center"/>
          </w:tcPr>
          <w:p w14:paraId="78FCAFC4">
            <w:pPr>
              <w:widowControl/>
              <w:jc w:val="center"/>
              <w:textAlignment w:val="center"/>
              <w:rPr>
                <w:rFonts w:hint="eastAsia" w:hAnsi="仿宋" w:cs="黑体"/>
                <w:b/>
                <w:bCs/>
                <w:color w:val="000000"/>
                <w:sz w:val="15"/>
                <w:szCs w:val="15"/>
                <w:lang w:eastAsia="zh-CN" w:bidi="ar"/>
              </w:rPr>
            </w:pPr>
            <w:r>
              <w:rPr>
                <w:rFonts w:hint="eastAsia" w:hAnsi="仿宋" w:cs="黑体"/>
                <w:b/>
                <w:bCs/>
                <w:color w:val="000000"/>
                <w:sz w:val="15"/>
                <w:szCs w:val="15"/>
                <w:lang w:val="en-US" w:eastAsia="zh-CN" w:bidi="ar"/>
              </w:rPr>
              <w:t>0</w:t>
            </w:r>
          </w:p>
        </w:tc>
        <w:tc>
          <w:tcPr>
            <w:tcW w:w="0" w:type="auto"/>
            <w:noWrap/>
            <w:vAlign w:val="center"/>
          </w:tcPr>
          <w:p w14:paraId="6A28D72A">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0</w:t>
            </w:r>
          </w:p>
        </w:tc>
        <w:tc>
          <w:tcPr>
            <w:tcW w:w="0" w:type="auto"/>
            <w:noWrap/>
            <w:vAlign w:val="center"/>
          </w:tcPr>
          <w:p w14:paraId="72715F5B">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0</w:t>
            </w:r>
          </w:p>
        </w:tc>
        <w:tc>
          <w:tcPr>
            <w:tcW w:w="0" w:type="auto"/>
            <w:noWrap/>
            <w:vAlign w:val="center"/>
          </w:tcPr>
          <w:p w14:paraId="7E9C27B6">
            <w:pPr>
              <w:widowControl/>
              <w:jc w:val="center"/>
              <w:textAlignment w:val="center"/>
              <w:rPr>
                <w:rFonts w:hint="default" w:hAnsi="仿宋" w:cs="黑体"/>
                <w:b/>
                <w:bCs/>
                <w:color w:val="000000"/>
                <w:sz w:val="15"/>
                <w:szCs w:val="15"/>
                <w:lang w:val="en-US" w:eastAsia="zh-CN" w:bidi="ar"/>
              </w:rPr>
            </w:pPr>
            <w:r>
              <w:rPr>
                <w:rFonts w:hint="eastAsia" w:hAnsi="仿宋" w:cs="黑体"/>
                <w:b/>
                <w:bCs/>
                <w:color w:val="000000"/>
                <w:sz w:val="15"/>
                <w:szCs w:val="15"/>
                <w:lang w:val="en-US" w:eastAsia="zh-CN" w:bidi="ar"/>
              </w:rPr>
              <w:t>100</w:t>
            </w:r>
          </w:p>
        </w:tc>
        <w:tc>
          <w:tcPr>
            <w:tcW w:w="0" w:type="auto"/>
            <w:noWrap/>
            <w:vAlign w:val="center"/>
          </w:tcPr>
          <w:p w14:paraId="70C5C55C">
            <w:pPr>
              <w:widowControl/>
              <w:jc w:val="center"/>
              <w:textAlignment w:val="center"/>
              <w:rPr>
                <w:rFonts w:hAnsi="仿宋" w:cs="黑体"/>
                <w:b/>
                <w:bCs/>
                <w:color w:val="000000"/>
                <w:sz w:val="15"/>
                <w:szCs w:val="15"/>
                <w:lang w:bidi="ar"/>
              </w:rPr>
            </w:pPr>
            <w:r>
              <w:rPr>
                <w:rFonts w:hint="eastAsia" w:hAnsi="仿宋" w:cs="黑体"/>
                <w:b/>
                <w:bCs/>
                <w:color w:val="000000"/>
                <w:sz w:val="15"/>
                <w:szCs w:val="15"/>
                <w:lang w:bidi="ar"/>
              </w:rPr>
              <w:t>0</w:t>
            </w:r>
          </w:p>
        </w:tc>
        <w:tc>
          <w:tcPr>
            <w:tcW w:w="0" w:type="auto"/>
            <w:noWrap/>
            <w:vAlign w:val="center"/>
          </w:tcPr>
          <w:p w14:paraId="6A98C3E1">
            <w:pPr>
              <w:widowControl/>
              <w:jc w:val="center"/>
              <w:textAlignment w:val="center"/>
              <w:rPr>
                <w:rFonts w:hint="eastAsia" w:hAnsi="仿宋" w:eastAsia="仿宋" w:cs="黑体"/>
                <w:b/>
                <w:bCs/>
                <w:color w:val="000000"/>
                <w:sz w:val="15"/>
                <w:szCs w:val="15"/>
                <w:lang w:eastAsia="zh-CN" w:bidi="ar"/>
              </w:rPr>
            </w:pPr>
            <w:r>
              <w:rPr>
                <w:rFonts w:hint="eastAsia" w:hAnsi="仿宋" w:cs="黑体"/>
                <w:b/>
                <w:bCs/>
                <w:color w:val="000000"/>
                <w:sz w:val="15"/>
                <w:szCs w:val="15"/>
                <w:lang w:val="en-US" w:eastAsia="zh-CN" w:bidi="ar"/>
              </w:rPr>
              <w:t>2</w:t>
            </w:r>
          </w:p>
        </w:tc>
        <w:tc>
          <w:tcPr>
            <w:tcW w:w="0" w:type="auto"/>
            <w:noWrap/>
            <w:vAlign w:val="center"/>
          </w:tcPr>
          <w:p w14:paraId="7D924901">
            <w:pPr>
              <w:widowControl/>
              <w:jc w:val="center"/>
              <w:textAlignment w:val="center"/>
              <w:rPr>
                <w:rFonts w:hint="eastAsia" w:hAnsi="仿宋" w:eastAsia="仿宋" w:cs="黑体"/>
                <w:b/>
                <w:bCs/>
                <w:color w:val="000000"/>
                <w:sz w:val="15"/>
                <w:szCs w:val="15"/>
                <w:lang w:eastAsia="zh-CN" w:bidi="ar"/>
              </w:rPr>
            </w:pPr>
            <w:r>
              <w:rPr>
                <w:rFonts w:hint="eastAsia" w:hAnsi="仿宋" w:cs="黑体"/>
                <w:b/>
                <w:bCs/>
                <w:color w:val="000000"/>
                <w:sz w:val="15"/>
                <w:szCs w:val="15"/>
                <w:lang w:val="en-US" w:eastAsia="zh-CN" w:bidi="ar"/>
              </w:rPr>
              <w:t>5</w:t>
            </w:r>
          </w:p>
        </w:tc>
        <w:tc>
          <w:tcPr>
            <w:tcW w:w="0" w:type="auto"/>
            <w:noWrap/>
            <w:vAlign w:val="center"/>
          </w:tcPr>
          <w:p w14:paraId="3607EA9C">
            <w:pPr>
              <w:widowControl/>
              <w:jc w:val="center"/>
              <w:textAlignment w:val="center"/>
              <w:rPr>
                <w:rFonts w:hAnsi="仿宋" w:cs="黑体"/>
                <w:b/>
                <w:bCs/>
                <w:color w:val="000000"/>
                <w:sz w:val="15"/>
                <w:szCs w:val="15"/>
                <w:lang w:bidi="ar"/>
              </w:rPr>
            </w:pPr>
            <w:r>
              <w:rPr>
                <w:rFonts w:hAnsi="仿宋" w:cs="黑体"/>
                <w:b/>
                <w:bCs/>
                <w:color w:val="000000"/>
                <w:sz w:val="15"/>
                <w:szCs w:val="15"/>
                <w:lang w:bidi="ar"/>
              </w:rPr>
              <w:t>2</w:t>
            </w:r>
          </w:p>
        </w:tc>
        <w:tc>
          <w:tcPr>
            <w:tcW w:w="0" w:type="auto"/>
            <w:noWrap/>
            <w:vAlign w:val="center"/>
          </w:tcPr>
          <w:p w14:paraId="4361AD9F">
            <w:pPr>
              <w:widowControl/>
              <w:jc w:val="center"/>
              <w:textAlignment w:val="center"/>
              <w:rPr>
                <w:rFonts w:hint="default" w:hAnsi="仿宋" w:cs="黑体"/>
                <w:b/>
                <w:bCs/>
                <w:color w:val="000000"/>
                <w:sz w:val="15"/>
                <w:szCs w:val="15"/>
                <w:lang w:val="en-US" w:eastAsia="zh-CN" w:bidi="ar"/>
              </w:rPr>
            </w:pPr>
            <w:r>
              <w:rPr>
                <w:rFonts w:hint="eastAsia" w:hAnsi="仿宋" w:cs="黑体"/>
                <w:b/>
                <w:bCs/>
                <w:color w:val="000000"/>
                <w:sz w:val="15"/>
                <w:szCs w:val="15"/>
                <w:lang w:val="en-US" w:eastAsia="zh-CN" w:bidi="ar"/>
              </w:rPr>
              <w:t>16</w:t>
            </w:r>
          </w:p>
        </w:tc>
        <w:tc>
          <w:tcPr>
            <w:tcW w:w="0" w:type="auto"/>
            <w:noWrap/>
            <w:vAlign w:val="center"/>
          </w:tcPr>
          <w:p w14:paraId="21649D59">
            <w:pPr>
              <w:widowControl/>
              <w:jc w:val="center"/>
              <w:textAlignment w:val="center"/>
              <w:rPr>
                <w:rFonts w:hint="default" w:hAnsi="仿宋" w:cs="黑体"/>
                <w:b/>
                <w:bCs/>
                <w:color w:val="000000"/>
                <w:sz w:val="15"/>
                <w:szCs w:val="15"/>
                <w:lang w:val="en-US" w:eastAsia="zh-CN" w:bidi="ar"/>
              </w:rPr>
            </w:pPr>
            <w:r>
              <w:rPr>
                <w:rFonts w:hint="eastAsia" w:hAnsi="仿宋" w:cs="黑体"/>
                <w:b/>
                <w:bCs/>
                <w:color w:val="000000"/>
                <w:sz w:val="15"/>
                <w:szCs w:val="15"/>
                <w:lang w:val="en-US" w:eastAsia="zh-CN" w:bidi="ar"/>
              </w:rPr>
              <w:t>40</w:t>
            </w:r>
          </w:p>
        </w:tc>
        <w:tc>
          <w:tcPr>
            <w:tcW w:w="0" w:type="auto"/>
            <w:noWrap/>
            <w:vAlign w:val="center"/>
          </w:tcPr>
          <w:p w14:paraId="4C1606F0">
            <w:pPr>
              <w:widowControl/>
              <w:jc w:val="center"/>
              <w:textAlignment w:val="center"/>
              <w:rPr>
                <w:rFonts w:hint="default" w:hAnsi="仿宋" w:cs="黑体"/>
                <w:b/>
                <w:bCs/>
                <w:color w:val="000000"/>
                <w:sz w:val="15"/>
                <w:szCs w:val="15"/>
                <w:lang w:val="en-US" w:eastAsia="zh-CN" w:bidi="ar"/>
              </w:rPr>
            </w:pPr>
            <w:r>
              <w:rPr>
                <w:rFonts w:hint="eastAsia" w:hAnsi="仿宋" w:cs="黑体"/>
                <w:b/>
                <w:bCs/>
                <w:color w:val="000000"/>
                <w:sz w:val="15"/>
                <w:szCs w:val="15"/>
                <w:lang w:val="en-US" w:eastAsia="zh-CN" w:bidi="ar"/>
              </w:rPr>
              <w:t>120</w:t>
            </w:r>
          </w:p>
        </w:tc>
        <w:tc>
          <w:tcPr>
            <w:tcW w:w="0" w:type="auto"/>
            <w:noWrap/>
            <w:vAlign w:val="center"/>
          </w:tcPr>
          <w:p w14:paraId="219BEB52">
            <w:pPr>
              <w:widowControl/>
              <w:jc w:val="center"/>
              <w:textAlignment w:val="center"/>
              <w:rPr>
                <w:rFonts w:hint="eastAsia" w:hAnsi="仿宋" w:cs="黑体"/>
                <w:b/>
                <w:bCs/>
                <w:color w:val="000000"/>
                <w:sz w:val="15"/>
                <w:szCs w:val="15"/>
                <w:lang w:eastAsia="zh-CN" w:bidi="ar"/>
              </w:rPr>
            </w:pPr>
            <w:r>
              <w:rPr>
                <w:rFonts w:hAnsi="仿宋" w:cs="黑体"/>
                <w:b/>
                <w:bCs/>
                <w:color w:val="000000"/>
                <w:sz w:val="15"/>
                <w:szCs w:val="15"/>
                <w:lang w:bidi="ar"/>
              </w:rPr>
              <w:t>0.</w:t>
            </w:r>
            <w:r>
              <w:rPr>
                <w:rFonts w:hint="eastAsia" w:hAnsi="仿宋" w:cs="黑体"/>
                <w:b/>
                <w:bCs/>
                <w:color w:val="000000"/>
                <w:sz w:val="15"/>
                <w:szCs w:val="15"/>
                <w:lang w:val="en-US" w:eastAsia="zh-CN" w:bidi="ar"/>
              </w:rPr>
              <w:t>5</w:t>
            </w:r>
          </w:p>
        </w:tc>
      </w:tr>
    </w:tbl>
    <w:p w14:paraId="65D1285B">
      <w:pPr>
        <w:pStyle w:val="2"/>
      </w:pPr>
    </w:p>
    <w:p w14:paraId="66B45853"/>
    <w:p w14:paraId="2FCAB62B">
      <w:pPr>
        <w:pStyle w:val="2"/>
      </w:pPr>
    </w:p>
    <w:p w14:paraId="58E3C7EC"/>
    <w:p w14:paraId="0F9B2959">
      <w:pPr>
        <w:pStyle w:val="2"/>
      </w:pPr>
    </w:p>
    <w:p w14:paraId="1FC22984"/>
    <w:p w14:paraId="6BD2984C">
      <w:pPr>
        <w:pStyle w:val="2"/>
        <w:sectPr>
          <w:pgSz w:w="16838" w:h="11906" w:orient="landscape"/>
          <w:pgMar w:top="1800" w:right="1440" w:bottom="1800" w:left="1440" w:header="851" w:footer="992" w:gutter="0"/>
          <w:cols w:space="425" w:num="1"/>
          <w:docGrid w:type="lines" w:linePitch="312" w:charSpace="0"/>
        </w:sectPr>
      </w:pPr>
    </w:p>
    <w:p w14:paraId="58A181FD">
      <w:pPr>
        <w:spacing w:line="360" w:lineRule="auto"/>
        <w:jc w:val="left"/>
        <w:rPr>
          <w:rFonts w:hint="eastAsia" w:ascii="黑体" w:eastAsia="黑体" w:cs="方正小标宋简体"/>
          <w:szCs w:val="32"/>
          <w:lang w:val="en-US" w:eastAsia="zh-CN"/>
        </w:rPr>
      </w:pPr>
      <w:r>
        <w:rPr>
          <w:rFonts w:hint="eastAsia" w:ascii="黑体" w:eastAsia="黑体" w:cs="方正小标宋简体"/>
          <w:szCs w:val="32"/>
          <w:lang w:eastAsia="zh-CN"/>
        </w:rPr>
        <w:t>附件</w:t>
      </w:r>
      <w:r>
        <w:rPr>
          <w:rFonts w:hint="eastAsia" w:ascii="黑体" w:eastAsia="黑体" w:cs="方正小标宋简体"/>
          <w:szCs w:val="32"/>
          <w:lang w:val="en-US" w:eastAsia="zh-CN"/>
        </w:rPr>
        <w:t>2：</w:t>
      </w:r>
    </w:p>
    <w:p w14:paraId="0C37DC02">
      <w:pPr>
        <w:spacing w:line="360" w:lineRule="auto"/>
        <w:jc w:val="center"/>
        <w:rPr>
          <w:rFonts w:ascii="黑体" w:eastAsia="黑体"/>
          <w:sz w:val="44"/>
          <w:szCs w:val="44"/>
        </w:rPr>
      </w:pPr>
      <w:r>
        <w:rPr>
          <w:rFonts w:hint="eastAsia" w:ascii="黑体" w:eastAsia="黑体"/>
          <w:sz w:val="44"/>
          <w:szCs w:val="44"/>
          <w:lang w:eastAsia="zh-CN"/>
        </w:rPr>
        <w:t>汝州市</w:t>
      </w:r>
      <w:r>
        <w:rPr>
          <w:rFonts w:ascii="黑体" w:eastAsia="黑体"/>
          <w:sz w:val="44"/>
          <w:szCs w:val="44"/>
        </w:rPr>
        <w:t>202</w:t>
      </w:r>
      <w:r>
        <w:rPr>
          <w:rFonts w:hint="eastAsia" w:ascii="黑体" w:eastAsia="黑体"/>
          <w:sz w:val="44"/>
          <w:szCs w:val="44"/>
          <w:lang w:val="en-US" w:eastAsia="zh-CN"/>
        </w:rPr>
        <w:t>5</w:t>
      </w:r>
      <w:r>
        <w:rPr>
          <w:rFonts w:ascii="黑体" w:eastAsia="黑体"/>
          <w:sz w:val="44"/>
          <w:szCs w:val="44"/>
        </w:rPr>
        <w:t>年</w:t>
      </w:r>
      <w:r>
        <w:rPr>
          <w:rFonts w:hint="eastAsia" w:ascii="黑体" w:eastAsia="黑体"/>
          <w:sz w:val="44"/>
          <w:szCs w:val="44"/>
        </w:rPr>
        <w:t>科学施肥增效</w:t>
      </w:r>
      <w:r>
        <w:rPr>
          <w:rFonts w:ascii="黑体" w:eastAsia="黑体"/>
          <w:sz w:val="44"/>
          <w:szCs w:val="44"/>
        </w:rPr>
        <w:t>工作领导小组</w:t>
      </w:r>
    </w:p>
    <w:p w14:paraId="55A4D642">
      <w:pPr>
        <w:spacing w:line="360" w:lineRule="auto"/>
        <w:ind w:firstLine="640" w:firstLineChars="200"/>
      </w:pPr>
    </w:p>
    <w:p w14:paraId="08AB4D26">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  长：焦慧涛（农业农村局局长）</w:t>
      </w:r>
    </w:p>
    <w:p w14:paraId="737C6B9F">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副组长：田  磊（农业农村局副局长）</w:t>
      </w:r>
    </w:p>
    <w:p w14:paraId="49692C5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  员：</w:t>
      </w:r>
    </w:p>
    <w:p w14:paraId="1D718D06">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  源（办公室主任）</w:t>
      </w:r>
    </w:p>
    <w:p w14:paraId="1F9FB54A">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刘璐远（财务科科长）</w:t>
      </w:r>
    </w:p>
    <w:p w14:paraId="51D7B1D9">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王俊哲（种植与市场信息科科长）</w:t>
      </w:r>
    </w:p>
    <w:p w14:paraId="4F013044">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王如飞（植物保护检疫站站长）</w:t>
      </w:r>
    </w:p>
    <w:p w14:paraId="5FF9BE82">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裴智鑫</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（农村合作经济经营管理站站长）</w:t>
      </w:r>
    </w:p>
    <w:p w14:paraId="4296022D">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樊亚蒙（农田建设管理科科长）</w:t>
      </w:r>
    </w:p>
    <w:p w14:paraId="2CD70B88">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领导小组下设办公室，办公室设在汝州市农业农村局农田建设科，由樊亚蒙同志任办公室主任。</w:t>
      </w:r>
    </w:p>
    <w:p w14:paraId="0DA205C5"/>
    <w:p w14:paraId="57D2E449">
      <w:pPr>
        <w:pStyle w:val="2"/>
      </w:pPr>
    </w:p>
    <w:p w14:paraId="183AF1FF"/>
    <w:p w14:paraId="03960D3D">
      <w:pPr>
        <w:pStyle w:val="2"/>
      </w:pPr>
    </w:p>
    <w:p w14:paraId="3B1F7B49"/>
    <w:p w14:paraId="4F474F60">
      <w:pPr>
        <w:pStyle w:val="2"/>
      </w:pPr>
    </w:p>
    <w:p w14:paraId="2ACABA00"/>
    <w:p w14:paraId="75C7ACC2">
      <w:pPr>
        <w:pStyle w:val="2"/>
      </w:pPr>
    </w:p>
    <w:p w14:paraId="2BCF3EFF">
      <w:pPr>
        <w:spacing w:line="360" w:lineRule="auto"/>
        <w:jc w:val="center"/>
        <w:rPr>
          <w:rFonts w:ascii="黑体" w:eastAsia="黑体"/>
          <w:sz w:val="44"/>
          <w:szCs w:val="44"/>
        </w:rPr>
      </w:pPr>
      <w:r>
        <w:rPr>
          <w:rFonts w:hint="eastAsia" w:ascii="黑体" w:eastAsia="黑体"/>
          <w:sz w:val="44"/>
          <w:szCs w:val="44"/>
          <w:lang w:eastAsia="zh-CN"/>
        </w:rPr>
        <w:t>汝州</w:t>
      </w:r>
      <w:r>
        <w:rPr>
          <w:rFonts w:hint="eastAsia" w:ascii="黑体" w:eastAsia="黑体"/>
          <w:sz w:val="44"/>
          <w:szCs w:val="44"/>
        </w:rPr>
        <w:t>市</w:t>
      </w:r>
      <w:r>
        <w:rPr>
          <w:rFonts w:ascii="黑体" w:eastAsia="黑体"/>
          <w:sz w:val="44"/>
          <w:szCs w:val="44"/>
        </w:rPr>
        <w:t>202</w:t>
      </w:r>
      <w:r>
        <w:rPr>
          <w:rFonts w:hint="eastAsia" w:ascii="黑体" w:eastAsia="黑体"/>
          <w:sz w:val="44"/>
          <w:szCs w:val="44"/>
          <w:lang w:val="en-US" w:eastAsia="zh-CN"/>
        </w:rPr>
        <w:t>5</w:t>
      </w:r>
      <w:r>
        <w:rPr>
          <w:rFonts w:ascii="黑体" w:eastAsia="黑体"/>
          <w:sz w:val="44"/>
          <w:szCs w:val="44"/>
        </w:rPr>
        <w:t>年</w:t>
      </w:r>
      <w:r>
        <w:rPr>
          <w:rFonts w:hint="eastAsia" w:ascii="黑体" w:eastAsia="黑体"/>
          <w:sz w:val="44"/>
          <w:szCs w:val="44"/>
        </w:rPr>
        <w:t>科学施肥增效</w:t>
      </w:r>
      <w:r>
        <w:rPr>
          <w:rFonts w:ascii="黑体" w:eastAsia="黑体"/>
          <w:sz w:val="44"/>
          <w:szCs w:val="44"/>
        </w:rPr>
        <w:t>工作技术小组</w:t>
      </w:r>
    </w:p>
    <w:p w14:paraId="50BE39A2">
      <w:pPr>
        <w:spacing w:line="360" w:lineRule="auto"/>
        <w:ind w:firstLine="640" w:firstLineChars="200"/>
      </w:pPr>
    </w:p>
    <w:p w14:paraId="032218D5">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  长：樊亚蒙  农田建设科科长</w:t>
      </w:r>
    </w:p>
    <w:p w14:paraId="49E68FD5">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  员：高梅红  农艺师</w:t>
      </w:r>
    </w:p>
    <w:p w14:paraId="69070307">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闫浩浩  助理农艺师</w:t>
      </w:r>
    </w:p>
    <w:p w14:paraId="4500CE15">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韩兴敏  助理农艺师</w:t>
      </w:r>
    </w:p>
    <w:p w14:paraId="393F8158">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祁  凯  科员    </w:t>
      </w:r>
    </w:p>
    <w:p w14:paraId="18020B7C">
      <w:pPr>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14:paraId="7EEF3FBA">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技术小组负责项目实施具体工作和全程技术指导，解决项目实施技术难题。</w:t>
      </w:r>
    </w:p>
    <w:p w14:paraId="214427C5">
      <w:pPr>
        <w:pStyle w:val="2"/>
        <w:rPr>
          <w:rFonts w:hint="eastAsia"/>
        </w:rPr>
      </w:pPr>
    </w:p>
    <w:p w14:paraId="5811F132">
      <w:pPr>
        <w:rPr>
          <w:rFonts w:hint="eastAsia"/>
        </w:rPr>
      </w:pPr>
    </w:p>
    <w:p w14:paraId="721C8B4F">
      <w:pPr>
        <w:pStyle w:val="2"/>
        <w:rPr>
          <w:rFonts w:hint="eastAsia"/>
        </w:rPr>
      </w:pPr>
    </w:p>
    <w:p w14:paraId="62E56C5F">
      <w:pPr>
        <w:rPr>
          <w:rFonts w:hint="eastAsia"/>
        </w:rPr>
      </w:pPr>
    </w:p>
    <w:p w14:paraId="443E4626">
      <w:pPr>
        <w:pStyle w:val="2"/>
        <w:rPr>
          <w:rFonts w:hint="eastAsia"/>
        </w:rPr>
      </w:pPr>
    </w:p>
    <w:p w14:paraId="79090438">
      <w:pPr>
        <w:rPr>
          <w:rFonts w:hint="eastAsia"/>
        </w:rPr>
      </w:pPr>
    </w:p>
    <w:p w14:paraId="0EC37583">
      <w:pPr>
        <w:pStyle w:val="2"/>
        <w:rPr>
          <w:rFonts w:hint="eastAsia"/>
        </w:rPr>
      </w:pPr>
    </w:p>
    <w:p w14:paraId="2F085166">
      <w:pPr>
        <w:rPr>
          <w:rFonts w:hint="eastAsia"/>
        </w:rPr>
      </w:pPr>
    </w:p>
    <w:p w14:paraId="61A6F69F">
      <w:pPr>
        <w:pStyle w:val="2"/>
        <w:rPr>
          <w:rFonts w:hint="eastAsia"/>
        </w:rPr>
      </w:pPr>
    </w:p>
    <w:p w14:paraId="130021E2">
      <w:pPr>
        <w:rPr>
          <w:rFonts w:hint="eastAsia"/>
        </w:rPr>
      </w:pPr>
    </w:p>
    <w:p w14:paraId="5C3E1AB7">
      <w:pPr>
        <w:pStyle w:val="2"/>
        <w:rPr>
          <w:rFonts w:hint="eastAsia"/>
        </w:rPr>
      </w:pPr>
    </w:p>
    <w:p w14:paraId="327BE10A">
      <w:pPr>
        <w:rPr>
          <w:rFonts w:hint="eastAsia"/>
        </w:rPr>
      </w:pPr>
    </w:p>
    <w:p w14:paraId="30699FBD">
      <w:pPr>
        <w:spacing w:line="360" w:lineRule="auto"/>
        <w:jc w:val="left"/>
        <w:rPr>
          <w:rFonts w:hint="eastAsia" w:ascii="黑体" w:eastAsia="黑体" w:cs="方正小标宋简体"/>
          <w:szCs w:val="32"/>
          <w:lang w:eastAsia="zh-CN"/>
        </w:rPr>
      </w:pPr>
    </w:p>
    <w:p w14:paraId="3F651C42">
      <w:pPr>
        <w:spacing w:line="360" w:lineRule="auto"/>
        <w:jc w:val="left"/>
        <w:rPr>
          <w:rFonts w:hint="eastAsia" w:ascii="黑体" w:eastAsia="黑体" w:cs="方正小标宋简体"/>
          <w:szCs w:val="32"/>
          <w:lang w:val="en-US" w:eastAsia="zh-CN"/>
        </w:rPr>
      </w:pPr>
      <w:bookmarkStart w:id="0" w:name="_GoBack"/>
      <w:bookmarkEnd w:id="0"/>
      <w:r>
        <w:rPr>
          <w:rFonts w:hint="eastAsia" w:ascii="黑体" w:eastAsia="黑体" w:cs="方正小标宋简体"/>
          <w:szCs w:val="32"/>
          <w:lang w:eastAsia="zh-CN"/>
        </w:rPr>
        <w:t>附件</w:t>
      </w:r>
      <w:r>
        <w:rPr>
          <w:rFonts w:hint="eastAsia" w:ascii="黑体" w:eastAsia="黑体" w:cs="方正小标宋简体"/>
          <w:szCs w:val="32"/>
          <w:lang w:val="en-US" w:eastAsia="zh-CN"/>
        </w:rPr>
        <w:t>3：</w:t>
      </w:r>
    </w:p>
    <w:p w14:paraId="7F044F9F">
      <w:pPr>
        <w:spacing w:line="360" w:lineRule="auto"/>
      </w:pPr>
    </w:p>
    <w:p w14:paraId="349EBB7E">
      <w:pPr>
        <w:spacing w:line="360" w:lineRule="auto"/>
        <w:jc w:val="center"/>
        <w:rPr>
          <w:rFonts w:hint="eastAsia" w:ascii="黑体" w:eastAsia="黑体"/>
        </w:rPr>
      </w:pPr>
      <w:r>
        <w:rPr>
          <w:rFonts w:hint="eastAsia" w:ascii="黑体" w:eastAsia="黑体"/>
        </w:rPr>
        <w:t>资金预算表</w:t>
      </w:r>
    </w:p>
    <w:tbl>
      <w:tblPr>
        <w:tblStyle w:val="5"/>
        <w:tblW w:w="9003" w:type="dxa"/>
        <w:tblInd w:w="0" w:type="dxa"/>
        <w:tblLayout w:type="fixed"/>
        <w:tblCellMar>
          <w:top w:w="0" w:type="dxa"/>
          <w:left w:w="108" w:type="dxa"/>
          <w:bottom w:w="0" w:type="dxa"/>
          <w:right w:w="108" w:type="dxa"/>
        </w:tblCellMar>
      </w:tblPr>
      <w:tblGrid>
        <w:gridCol w:w="651"/>
        <w:gridCol w:w="1728"/>
        <w:gridCol w:w="706"/>
        <w:gridCol w:w="992"/>
        <w:gridCol w:w="851"/>
        <w:gridCol w:w="4075"/>
      </w:tblGrid>
      <w:tr w14:paraId="30CB480A">
        <w:tblPrEx>
          <w:tblCellMar>
            <w:top w:w="0" w:type="dxa"/>
            <w:left w:w="108" w:type="dxa"/>
            <w:bottom w:w="0" w:type="dxa"/>
            <w:right w:w="108" w:type="dxa"/>
          </w:tblCellMar>
        </w:tblPrEx>
        <w:trPr>
          <w:trHeight w:val="567" w:hRule="atLeast"/>
        </w:trPr>
        <w:tc>
          <w:tcPr>
            <w:tcW w:w="2379" w:type="dxa"/>
            <w:gridSpan w:val="2"/>
            <w:tcBorders>
              <w:top w:val="single" w:color="auto" w:sz="4" w:space="0"/>
              <w:left w:val="single" w:color="auto" w:sz="4" w:space="0"/>
              <w:bottom w:val="single" w:color="auto" w:sz="4" w:space="0"/>
              <w:right w:val="single" w:color="auto" w:sz="4" w:space="0"/>
            </w:tcBorders>
            <w:noWrap/>
            <w:vAlign w:val="center"/>
          </w:tcPr>
          <w:p w14:paraId="3BAAD7C5">
            <w:pPr>
              <w:widowControl/>
              <w:jc w:val="center"/>
              <w:rPr>
                <w:rFonts w:hint="eastAsia" w:hAnsi="仿宋" w:cs="Arial"/>
                <w:b/>
                <w:bCs/>
                <w:kern w:val="0"/>
                <w:sz w:val="21"/>
                <w:szCs w:val="21"/>
              </w:rPr>
            </w:pPr>
            <w:r>
              <w:rPr>
                <w:rFonts w:hint="eastAsia" w:hAnsi="仿宋" w:cs="Arial"/>
                <w:b/>
                <w:bCs/>
                <w:kern w:val="0"/>
                <w:sz w:val="21"/>
                <w:szCs w:val="21"/>
              </w:rPr>
              <w:t>项目</w:t>
            </w:r>
          </w:p>
        </w:tc>
        <w:tc>
          <w:tcPr>
            <w:tcW w:w="706" w:type="dxa"/>
            <w:tcBorders>
              <w:top w:val="single" w:color="auto" w:sz="4" w:space="0"/>
              <w:left w:val="nil"/>
              <w:bottom w:val="single" w:color="auto" w:sz="4" w:space="0"/>
              <w:right w:val="single" w:color="auto" w:sz="4" w:space="0"/>
            </w:tcBorders>
            <w:noWrap/>
            <w:vAlign w:val="center"/>
          </w:tcPr>
          <w:p w14:paraId="77B3BF0D">
            <w:pPr>
              <w:widowControl/>
              <w:jc w:val="center"/>
              <w:rPr>
                <w:rFonts w:hint="eastAsia" w:hAnsi="仿宋" w:cs="Arial"/>
                <w:b/>
                <w:bCs/>
                <w:kern w:val="0"/>
                <w:sz w:val="21"/>
                <w:szCs w:val="21"/>
              </w:rPr>
            </w:pPr>
            <w:r>
              <w:rPr>
                <w:rFonts w:hint="eastAsia" w:hAnsi="仿宋" w:cs="Arial"/>
                <w:b/>
                <w:bCs/>
                <w:kern w:val="0"/>
                <w:sz w:val="21"/>
                <w:szCs w:val="21"/>
              </w:rPr>
              <w:t>数量</w:t>
            </w:r>
          </w:p>
        </w:tc>
        <w:tc>
          <w:tcPr>
            <w:tcW w:w="992" w:type="dxa"/>
            <w:tcBorders>
              <w:top w:val="single" w:color="auto" w:sz="4" w:space="0"/>
              <w:left w:val="nil"/>
              <w:bottom w:val="single" w:color="auto" w:sz="4" w:space="0"/>
              <w:right w:val="single" w:color="auto" w:sz="4" w:space="0"/>
            </w:tcBorders>
            <w:noWrap/>
            <w:vAlign w:val="center"/>
          </w:tcPr>
          <w:p w14:paraId="69102AD2">
            <w:pPr>
              <w:widowControl/>
              <w:jc w:val="center"/>
              <w:rPr>
                <w:rFonts w:hint="eastAsia" w:hAnsi="仿宋" w:cs="Arial"/>
                <w:b/>
                <w:bCs/>
                <w:kern w:val="0"/>
                <w:sz w:val="21"/>
                <w:szCs w:val="21"/>
              </w:rPr>
            </w:pPr>
            <w:r>
              <w:rPr>
                <w:rFonts w:hint="eastAsia" w:hAnsi="仿宋" w:cs="Arial"/>
                <w:b/>
                <w:bCs/>
                <w:kern w:val="0"/>
                <w:sz w:val="21"/>
                <w:szCs w:val="21"/>
              </w:rPr>
              <w:t>单价/元</w:t>
            </w:r>
          </w:p>
        </w:tc>
        <w:tc>
          <w:tcPr>
            <w:tcW w:w="851" w:type="dxa"/>
            <w:tcBorders>
              <w:top w:val="single" w:color="auto" w:sz="4" w:space="0"/>
              <w:left w:val="nil"/>
              <w:bottom w:val="single" w:color="auto" w:sz="4" w:space="0"/>
              <w:right w:val="single" w:color="auto" w:sz="4" w:space="0"/>
            </w:tcBorders>
            <w:noWrap/>
            <w:vAlign w:val="center"/>
          </w:tcPr>
          <w:p w14:paraId="790A193B">
            <w:pPr>
              <w:widowControl/>
              <w:jc w:val="center"/>
              <w:rPr>
                <w:rFonts w:hint="eastAsia" w:hAnsi="仿宋" w:cs="Arial"/>
                <w:b/>
                <w:bCs/>
                <w:kern w:val="0"/>
                <w:sz w:val="21"/>
                <w:szCs w:val="21"/>
              </w:rPr>
            </w:pPr>
            <w:r>
              <w:rPr>
                <w:rFonts w:hint="eastAsia" w:hAnsi="仿宋" w:cs="Arial"/>
                <w:b/>
                <w:bCs/>
                <w:kern w:val="0"/>
                <w:sz w:val="21"/>
                <w:szCs w:val="21"/>
              </w:rPr>
              <w:t>金额/万元</w:t>
            </w:r>
          </w:p>
        </w:tc>
        <w:tc>
          <w:tcPr>
            <w:tcW w:w="4075" w:type="dxa"/>
            <w:tcBorders>
              <w:top w:val="single" w:color="auto" w:sz="4" w:space="0"/>
              <w:left w:val="nil"/>
              <w:bottom w:val="single" w:color="auto" w:sz="4" w:space="0"/>
              <w:right w:val="single" w:color="auto" w:sz="4" w:space="0"/>
            </w:tcBorders>
            <w:noWrap/>
            <w:vAlign w:val="center"/>
          </w:tcPr>
          <w:p w14:paraId="4AD493F8">
            <w:pPr>
              <w:widowControl/>
              <w:jc w:val="center"/>
              <w:rPr>
                <w:rFonts w:hint="eastAsia" w:hAnsi="仿宋" w:cs="Arial"/>
                <w:b/>
                <w:bCs/>
                <w:kern w:val="0"/>
                <w:sz w:val="21"/>
                <w:szCs w:val="21"/>
              </w:rPr>
            </w:pPr>
            <w:r>
              <w:rPr>
                <w:rFonts w:hint="eastAsia" w:hAnsi="仿宋" w:cs="Arial"/>
                <w:b/>
                <w:bCs/>
                <w:kern w:val="0"/>
                <w:sz w:val="21"/>
                <w:szCs w:val="21"/>
              </w:rPr>
              <w:t>备注</w:t>
            </w:r>
          </w:p>
        </w:tc>
      </w:tr>
      <w:tr w14:paraId="1CAD28B7">
        <w:tblPrEx>
          <w:tblCellMar>
            <w:top w:w="0" w:type="dxa"/>
            <w:left w:w="108" w:type="dxa"/>
            <w:bottom w:w="0" w:type="dxa"/>
            <w:right w:w="108" w:type="dxa"/>
          </w:tblCellMar>
        </w:tblPrEx>
        <w:trPr>
          <w:trHeight w:val="601" w:hRule="atLeast"/>
        </w:trPr>
        <w:tc>
          <w:tcPr>
            <w:tcW w:w="651" w:type="dxa"/>
            <w:vMerge w:val="restart"/>
            <w:tcBorders>
              <w:top w:val="nil"/>
              <w:left w:val="single" w:color="auto" w:sz="4" w:space="0"/>
              <w:right w:val="single" w:color="auto" w:sz="4" w:space="0"/>
            </w:tcBorders>
            <w:noWrap/>
            <w:vAlign w:val="center"/>
          </w:tcPr>
          <w:p w14:paraId="26EC6984">
            <w:pPr>
              <w:widowControl/>
              <w:jc w:val="center"/>
              <w:rPr>
                <w:rFonts w:hint="eastAsia" w:hAnsi="仿宋" w:cs="Arial"/>
                <w:b/>
                <w:bCs/>
                <w:kern w:val="0"/>
                <w:sz w:val="21"/>
                <w:szCs w:val="21"/>
              </w:rPr>
            </w:pPr>
            <w:r>
              <w:rPr>
                <w:rFonts w:hint="eastAsia" w:hAnsi="仿宋" w:cs="Arial"/>
                <w:b/>
                <w:bCs/>
                <w:kern w:val="0"/>
                <w:sz w:val="21"/>
                <w:szCs w:val="21"/>
              </w:rPr>
              <w:t>田间试验</w:t>
            </w:r>
          </w:p>
        </w:tc>
        <w:tc>
          <w:tcPr>
            <w:tcW w:w="1728" w:type="dxa"/>
            <w:tcBorders>
              <w:top w:val="nil"/>
              <w:left w:val="nil"/>
              <w:bottom w:val="single" w:color="auto" w:sz="4" w:space="0"/>
              <w:right w:val="single" w:color="auto" w:sz="4" w:space="0"/>
            </w:tcBorders>
            <w:noWrap/>
            <w:vAlign w:val="center"/>
          </w:tcPr>
          <w:p w14:paraId="38DD16B2">
            <w:pPr>
              <w:widowControl/>
              <w:jc w:val="center"/>
              <w:rPr>
                <w:rFonts w:hint="eastAsia" w:hAnsi="仿宋" w:cs="Arial"/>
                <w:b/>
                <w:bCs/>
                <w:kern w:val="0"/>
                <w:sz w:val="21"/>
                <w:szCs w:val="21"/>
                <w:lang w:eastAsia="zh-CN"/>
              </w:rPr>
            </w:pPr>
            <w:r>
              <w:rPr>
                <w:rFonts w:hint="eastAsia" w:hAnsi="仿宋" w:cs="Arial"/>
                <w:b/>
                <w:bCs/>
                <w:kern w:val="0"/>
                <w:sz w:val="21"/>
                <w:szCs w:val="21"/>
                <w:lang w:eastAsia="zh-CN"/>
              </w:rPr>
              <w:t>田间试验</w:t>
            </w:r>
          </w:p>
        </w:tc>
        <w:tc>
          <w:tcPr>
            <w:tcW w:w="706" w:type="dxa"/>
            <w:tcBorders>
              <w:top w:val="nil"/>
              <w:left w:val="nil"/>
              <w:bottom w:val="single" w:color="auto" w:sz="4" w:space="0"/>
              <w:right w:val="single" w:color="auto" w:sz="4" w:space="0"/>
            </w:tcBorders>
            <w:noWrap/>
            <w:vAlign w:val="center"/>
          </w:tcPr>
          <w:p w14:paraId="0E57D34B">
            <w:pPr>
              <w:widowControl/>
              <w:jc w:val="center"/>
              <w:rPr>
                <w:rFonts w:hint="eastAsia" w:hAnsi="仿宋" w:cs="Arial"/>
                <w:b/>
                <w:bCs/>
                <w:kern w:val="0"/>
                <w:sz w:val="21"/>
                <w:szCs w:val="21"/>
              </w:rPr>
            </w:pPr>
            <w:r>
              <w:rPr>
                <w:rFonts w:hint="eastAsia" w:hAnsi="仿宋" w:cs="Arial"/>
                <w:b/>
                <w:bCs/>
                <w:kern w:val="0"/>
                <w:sz w:val="21"/>
                <w:szCs w:val="21"/>
                <w:lang w:val="en-US" w:eastAsia="zh-CN"/>
              </w:rPr>
              <w:t>3</w:t>
            </w:r>
            <w:r>
              <w:rPr>
                <w:rFonts w:hint="eastAsia" w:hAnsi="仿宋" w:cs="Arial"/>
                <w:b/>
                <w:bCs/>
                <w:kern w:val="0"/>
                <w:sz w:val="21"/>
                <w:szCs w:val="21"/>
              </w:rPr>
              <w:t>个</w:t>
            </w:r>
          </w:p>
        </w:tc>
        <w:tc>
          <w:tcPr>
            <w:tcW w:w="992" w:type="dxa"/>
            <w:tcBorders>
              <w:top w:val="nil"/>
              <w:left w:val="nil"/>
              <w:bottom w:val="single" w:color="auto" w:sz="4" w:space="0"/>
              <w:right w:val="single" w:color="auto" w:sz="4" w:space="0"/>
            </w:tcBorders>
            <w:noWrap/>
            <w:vAlign w:val="center"/>
          </w:tcPr>
          <w:p w14:paraId="7271C2B8">
            <w:pPr>
              <w:widowControl/>
              <w:jc w:val="center"/>
              <w:rPr>
                <w:rFonts w:hint="default" w:hAnsi="仿宋" w:cs="Arial"/>
                <w:b/>
                <w:bCs/>
                <w:kern w:val="0"/>
                <w:sz w:val="21"/>
                <w:szCs w:val="21"/>
                <w:lang w:val="en-US" w:eastAsia="zh-CN"/>
              </w:rPr>
            </w:pPr>
            <w:r>
              <w:rPr>
                <w:rFonts w:hint="eastAsia" w:hAnsi="仿宋" w:cs="Arial"/>
                <w:b/>
                <w:bCs/>
                <w:kern w:val="0"/>
                <w:sz w:val="21"/>
                <w:szCs w:val="21"/>
                <w:lang w:val="en-US" w:eastAsia="zh-CN"/>
              </w:rPr>
              <w:t>23000</w:t>
            </w:r>
          </w:p>
        </w:tc>
        <w:tc>
          <w:tcPr>
            <w:tcW w:w="851" w:type="dxa"/>
            <w:tcBorders>
              <w:top w:val="nil"/>
              <w:left w:val="nil"/>
              <w:bottom w:val="single" w:color="auto" w:sz="4" w:space="0"/>
              <w:right w:val="single" w:color="auto" w:sz="4" w:space="0"/>
            </w:tcBorders>
            <w:noWrap/>
            <w:vAlign w:val="center"/>
          </w:tcPr>
          <w:p w14:paraId="4364FAF1">
            <w:pPr>
              <w:widowControl/>
              <w:jc w:val="center"/>
              <w:rPr>
                <w:rFonts w:hint="default" w:hAnsi="仿宋" w:cs="Arial"/>
                <w:b/>
                <w:bCs/>
                <w:kern w:val="0"/>
                <w:sz w:val="21"/>
                <w:szCs w:val="21"/>
                <w:lang w:val="en-US" w:eastAsia="zh-CN"/>
              </w:rPr>
            </w:pPr>
            <w:r>
              <w:rPr>
                <w:rFonts w:hint="eastAsia" w:hAnsi="仿宋" w:cs="Arial"/>
                <w:b/>
                <w:bCs/>
                <w:kern w:val="0"/>
                <w:sz w:val="21"/>
                <w:szCs w:val="21"/>
                <w:lang w:val="en-US" w:eastAsia="zh-CN"/>
              </w:rPr>
              <w:t>6.9</w:t>
            </w:r>
          </w:p>
        </w:tc>
        <w:tc>
          <w:tcPr>
            <w:tcW w:w="4075" w:type="dxa"/>
            <w:vMerge w:val="restart"/>
            <w:tcBorders>
              <w:top w:val="nil"/>
              <w:left w:val="nil"/>
              <w:right w:val="single" w:color="auto" w:sz="4" w:space="0"/>
            </w:tcBorders>
            <w:noWrap w:val="0"/>
            <w:vAlign w:val="center"/>
          </w:tcPr>
          <w:p w14:paraId="1701608E">
            <w:pPr>
              <w:widowControl/>
              <w:jc w:val="center"/>
              <w:rPr>
                <w:rFonts w:hint="eastAsia" w:hAnsi="仿宋" w:cs="Arial"/>
                <w:b/>
                <w:bCs/>
                <w:kern w:val="0"/>
                <w:sz w:val="21"/>
                <w:szCs w:val="21"/>
                <w:lang w:eastAsia="zh-CN"/>
              </w:rPr>
            </w:pPr>
            <w:r>
              <w:rPr>
                <w:rFonts w:hint="eastAsia" w:hAnsi="仿宋" w:cs="Arial"/>
                <w:b/>
                <w:bCs/>
                <w:kern w:val="0"/>
                <w:sz w:val="21"/>
                <w:szCs w:val="21"/>
              </w:rPr>
              <w:t>用于试验</w:t>
            </w:r>
            <w:r>
              <w:rPr>
                <w:rFonts w:hint="eastAsia" w:hAnsi="仿宋" w:cs="Arial"/>
                <w:b/>
                <w:bCs/>
                <w:kern w:val="0"/>
                <w:sz w:val="21"/>
                <w:szCs w:val="21"/>
                <w:lang w:eastAsia="zh-CN"/>
              </w:rPr>
              <w:t>示范</w:t>
            </w:r>
            <w:r>
              <w:rPr>
                <w:rFonts w:hint="eastAsia" w:hAnsi="仿宋" w:cs="Arial"/>
                <w:b/>
                <w:bCs/>
                <w:kern w:val="0"/>
                <w:sz w:val="21"/>
                <w:szCs w:val="21"/>
              </w:rPr>
              <w:t>材料购置、试验田租用、</w:t>
            </w:r>
          </w:p>
          <w:p w14:paraId="3272A7DB">
            <w:pPr>
              <w:widowControl/>
              <w:jc w:val="center"/>
              <w:rPr>
                <w:rFonts w:hint="eastAsia" w:hAnsi="仿宋" w:cs="Arial"/>
                <w:b/>
                <w:bCs/>
                <w:kern w:val="0"/>
                <w:sz w:val="21"/>
                <w:szCs w:val="21"/>
              </w:rPr>
            </w:pPr>
            <w:r>
              <w:rPr>
                <w:rFonts w:hint="eastAsia" w:hAnsi="仿宋" w:cs="Arial"/>
                <w:b/>
                <w:bCs/>
                <w:kern w:val="0"/>
                <w:sz w:val="21"/>
                <w:szCs w:val="21"/>
              </w:rPr>
              <w:t>田间管理用工补贴、交通费</w:t>
            </w:r>
            <w:r>
              <w:rPr>
                <w:rFonts w:hint="eastAsia" w:hAnsi="仿宋" w:cs="Arial"/>
                <w:b/>
                <w:bCs/>
                <w:kern w:val="0"/>
                <w:sz w:val="21"/>
                <w:szCs w:val="21"/>
                <w:lang w:eastAsia="zh-CN"/>
              </w:rPr>
              <w:t>、试验示范小区标识牌制作费及样品采集与分析</w:t>
            </w:r>
            <w:r>
              <w:rPr>
                <w:rFonts w:hint="eastAsia" w:hAnsi="仿宋" w:cs="Arial"/>
                <w:b/>
                <w:bCs/>
                <w:kern w:val="0"/>
                <w:sz w:val="21"/>
                <w:szCs w:val="21"/>
              </w:rPr>
              <w:t>等　</w:t>
            </w:r>
          </w:p>
        </w:tc>
      </w:tr>
      <w:tr w14:paraId="6CF64CDF">
        <w:tblPrEx>
          <w:tblCellMar>
            <w:top w:w="0" w:type="dxa"/>
            <w:left w:w="108" w:type="dxa"/>
            <w:bottom w:w="0" w:type="dxa"/>
            <w:right w:w="108" w:type="dxa"/>
          </w:tblCellMar>
        </w:tblPrEx>
        <w:trPr>
          <w:trHeight w:val="567" w:hRule="atLeast"/>
        </w:trPr>
        <w:tc>
          <w:tcPr>
            <w:tcW w:w="651" w:type="dxa"/>
            <w:vMerge w:val="continue"/>
            <w:tcBorders>
              <w:left w:val="single" w:color="auto" w:sz="4" w:space="0"/>
              <w:right w:val="single" w:color="auto" w:sz="4" w:space="0"/>
            </w:tcBorders>
            <w:noWrap w:val="0"/>
            <w:vAlign w:val="center"/>
          </w:tcPr>
          <w:p w14:paraId="64D6FE6F">
            <w:pPr>
              <w:widowControl/>
              <w:jc w:val="center"/>
              <w:rPr>
                <w:rFonts w:hint="eastAsia" w:hAnsi="仿宋" w:cs="Arial"/>
                <w:b/>
                <w:bCs/>
                <w:kern w:val="0"/>
                <w:sz w:val="21"/>
                <w:szCs w:val="21"/>
              </w:rPr>
            </w:pPr>
          </w:p>
        </w:tc>
        <w:tc>
          <w:tcPr>
            <w:tcW w:w="1728" w:type="dxa"/>
            <w:tcBorders>
              <w:top w:val="nil"/>
              <w:left w:val="nil"/>
              <w:bottom w:val="single" w:color="auto" w:sz="4" w:space="0"/>
              <w:right w:val="single" w:color="auto" w:sz="4" w:space="0"/>
            </w:tcBorders>
            <w:noWrap/>
            <w:vAlign w:val="center"/>
          </w:tcPr>
          <w:p w14:paraId="595AF532">
            <w:pPr>
              <w:widowControl/>
              <w:jc w:val="center"/>
              <w:rPr>
                <w:rFonts w:hint="eastAsia" w:hAnsi="仿宋" w:eastAsia="仿宋" w:cs="Arial"/>
                <w:b/>
                <w:bCs/>
                <w:kern w:val="0"/>
                <w:sz w:val="21"/>
                <w:szCs w:val="21"/>
                <w:lang w:val="en-US" w:eastAsia="zh-CN"/>
              </w:rPr>
            </w:pPr>
            <w:r>
              <w:rPr>
                <w:rFonts w:hint="eastAsia" w:hAnsi="仿宋" w:cs="Arial"/>
                <w:b/>
                <w:bCs/>
                <w:kern w:val="0"/>
                <w:sz w:val="21"/>
                <w:szCs w:val="21"/>
                <w:lang w:val="en-US" w:eastAsia="zh-CN"/>
              </w:rPr>
              <w:t>其他试验</w:t>
            </w:r>
          </w:p>
        </w:tc>
        <w:tc>
          <w:tcPr>
            <w:tcW w:w="706" w:type="dxa"/>
            <w:tcBorders>
              <w:top w:val="nil"/>
              <w:left w:val="nil"/>
              <w:bottom w:val="single" w:color="auto" w:sz="4" w:space="0"/>
              <w:right w:val="single" w:color="auto" w:sz="4" w:space="0"/>
            </w:tcBorders>
            <w:noWrap/>
            <w:vAlign w:val="center"/>
          </w:tcPr>
          <w:p w14:paraId="38A79307">
            <w:pPr>
              <w:widowControl/>
              <w:jc w:val="center"/>
              <w:rPr>
                <w:rFonts w:hint="eastAsia" w:hAnsi="仿宋" w:cs="Arial"/>
                <w:b/>
                <w:bCs/>
                <w:kern w:val="0"/>
                <w:sz w:val="21"/>
                <w:szCs w:val="21"/>
              </w:rPr>
            </w:pPr>
            <w:r>
              <w:rPr>
                <w:rFonts w:hint="eastAsia" w:hAnsi="仿宋" w:cs="Arial"/>
                <w:b/>
                <w:bCs/>
                <w:kern w:val="0"/>
                <w:sz w:val="21"/>
                <w:szCs w:val="21"/>
                <w:lang w:val="en-US" w:eastAsia="zh-CN"/>
              </w:rPr>
              <w:t>10个</w:t>
            </w:r>
          </w:p>
        </w:tc>
        <w:tc>
          <w:tcPr>
            <w:tcW w:w="992" w:type="dxa"/>
            <w:tcBorders>
              <w:top w:val="nil"/>
              <w:left w:val="nil"/>
              <w:bottom w:val="single" w:color="auto" w:sz="4" w:space="0"/>
              <w:right w:val="single" w:color="auto" w:sz="4" w:space="0"/>
            </w:tcBorders>
            <w:noWrap/>
            <w:vAlign w:val="center"/>
          </w:tcPr>
          <w:p w14:paraId="4E718EF6">
            <w:pPr>
              <w:widowControl/>
              <w:jc w:val="center"/>
              <w:rPr>
                <w:rFonts w:hint="default" w:hAnsi="仿宋" w:cs="Arial"/>
                <w:b/>
                <w:bCs/>
                <w:kern w:val="0"/>
                <w:sz w:val="21"/>
                <w:szCs w:val="21"/>
                <w:lang w:val="en-US"/>
              </w:rPr>
            </w:pPr>
            <w:r>
              <w:rPr>
                <w:rFonts w:hint="eastAsia" w:hAnsi="仿宋" w:cs="Arial"/>
                <w:b/>
                <w:bCs/>
                <w:kern w:val="0"/>
                <w:sz w:val="21"/>
                <w:szCs w:val="21"/>
                <w:lang w:val="en-US" w:eastAsia="zh-CN"/>
              </w:rPr>
              <w:t>6000</w:t>
            </w:r>
          </w:p>
        </w:tc>
        <w:tc>
          <w:tcPr>
            <w:tcW w:w="851" w:type="dxa"/>
            <w:tcBorders>
              <w:top w:val="nil"/>
              <w:left w:val="nil"/>
              <w:bottom w:val="single" w:color="auto" w:sz="4" w:space="0"/>
              <w:right w:val="single" w:color="auto" w:sz="4" w:space="0"/>
            </w:tcBorders>
            <w:noWrap/>
            <w:vAlign w:val="center"/>
          </w:tcPr>
          <w:p w14:paraId="62D6FC4C">
            <w:pPr>
              <w:widowControl/>
              <w:jc w:val="center"/>
              <w:rPr>
                <w:rFonts w:hint="default" w:hAnsi="仿宋" w:cs="Arial"/>
                <w:b/>
                <w:bCs/>
                <w:kern w:val="0"/>
                <w:sz w:val="21"/>
                <w:szCs w:val="21"/>
                <w:lang w:val="en-US" w:eastAsia="zh-CN"/>
              </w:rPr>
            </w:pPr>
            <w:r>
              <w:rPr>
                <w:rFonts w:hint="eastAsia" w:hAnsi="仿宋" w:cs="Arial"/>
                <w:b/>
                <w:bCs/>
                <w:kern w:val="0"/>
                <w:sz w:val="21"/>
                <w:szCs w:val="21"/>
                <w:lang w:val="en-US" w:eastAsia="zh-CN"/>
              </w:rPr>
              <w:t>6.0</w:t>
            </w:r>
          </w:p>
        </w:tc>
        <w:tc>
          <w:tcPr>
            <w:tcW w:w="4075" w:type="dxa"/>
            <w:vMerge w:val="continue"/>
            <w:tcBorders>
              <w:left w:val="nil"/>
              <w:bottom w:val="single" w:color="auto" w:sz="4" w:space="0"/>
              <w:right w:val="single" w:color="auto" w:sz="4" w:space="0"/>
            </w:tcBorders>
            <w:noWrap/>
            <w:vAlign w:val="center"/>
          </w:tcPr>
          <w:p w14:paraId="34BE1BE6">
            <w:pPr>
              <w:widowControl/>
              <w:jc w:val="center"/>
              <w:rPr>
                <w:rFonts w:hint="eastAsia" w:hAnsi="仿宋" w:cs="Arial"/>
                <w:b/>
                <w:bCs/>
                <w:kern w:val="0"/>
                <w:sz w:val="21"/>
                <w:szCs w:val="21"/>
              </w:rPr>
            </w:pPr>
          </w:p>
        </w:tc>
      </w:tr>
      <w:tr w14:paraId="3D72BD97">
        <w:tblPrEx>
          <w:tblCellMar>
            <w:top w:w="0" w:type="dxa"/>
            <w:left w:w="108" w:type="dxa"/>
            <w:bottom w:w="0" w:type="dxa"/>
            <w:right w:w="108" w:type="dxa"/>
          </w:tblCellMar>
        </w:tblPrEx>
        <w:trPr>
          <w:trHeight w:val="567" w:hRule="atLeast"/>
        </w:trPr>
        <w:tc>
          <w:tcPr>
            <w:tcW w:w="651" w:type="dxa"/>
            <w:vMerge w:val="continue"/>
            <w:tcBorders>
              <w:left w:val="single" w:color="auto" w:sz="4" w:space="0"/>
              <w:bottom w:val="single" w:color="auto" w:sz="4" w:space="0"/>
              <w:right w:val="single" w:color="auto" w:sz="4" w:space="0"/>
            </w:tcBorders>
            <w:noWrap w:val="0"/>
            <w:vAlign w:val="center"/>
          </w:tcPr>
          <w:p w14:paraId="27C5DF4F">
            <w:pPr>
              <w:widowControl/>
              <w:jc w:val="center"/>
              <w:rPr>
                <w:rFonts w:hint="eastAsia" w:hAnsi="仿宋" w:cs="Arial"/>
                <w:b/>
                <w:bCs/>
                <w:kern w:val="0"/>
                <w:sz w:val="21"/>
                <w:szCs w:val="21"/>
              </w:rPr>
            </w:pPr>
          </w:p>
        </w:tc>
        <w:tc>
          <w:tcPr>
            <w:tcW w:w="1728" w:type="dxa"/>
            <w:tcBorders>
              <w:top w:val="nil"/>
              <w:left w:val="nil"/>
              <w:bottom w:val="single" w:color="auto" w:sz="4" w:space="0"/>
              <w:right w:val="single" w:color="auto" w:sz="4" w:space="0"/>
            </w:tcBorders>
            <w:noWrap/>
            <w:vAlign w:val="center"/>
          </w:tcPr>
          <w:p w14:paraId="1B8C7906">
            <w:pPr>
              <w:widowControl/>
              <w:jc w:val="center"/>
              <w:rPr>
                <w:rFonts w:hint="eastAsia" w:hAnsi="仿宋" w:cs="Arial"/>
                <w:b/>
                <w:bCs/>
                <w:kern w:val="0"/>
                <w:sz w:val="21"/>
                <w:szCs w:val="21"/>
              </w:rPr>
            </w:pPr>
            <w:r>
              <w:rPr>
                <w:rFonts w:hint="eastAsia" w:hAnsi="仿宋" w:cs="Arial"/>
                <w:b/>
                <w:bCs/>
                <w:kern w:val="0"/>
                <w:sz w:val="21"/>
                <w:szCs w:val="21"/>
              </w:rPr>
              <w:t>小计</w:t>
            </w:r>
          </w:p>
        </w:tc>
        <w:tc>
          <w:tcPr>
            <w:tcW w:w="706" w:type="dxa"/>
            <w:tcBorders>
              <w:top w:val="nil"/>
              <w:left w:val="nil"/>
              <w:bottom w:val="single" w:color="auto" w:sz="4" w:space="0"/>
              <w:right w:val="single" w:color="auto" w:sz="4" w:space="0"/>
            </w:tcBorders>
            <w:noWrap/>
            <w:vAlign w:val="center"/>
          </w:tcPr>
          <w:p w14:paraId="50CFC30B">
            <w:pPr>
              <w:widowControl/>
              <w:jc w:val="center"/>
              <w:rPr>
                <w:rFonts w:hint="eastAsia" w:hAnsi="仿宋" w:cs="Arial"/>
                <w:b/>
                <w:bCs/>
                <w:kern w:val="0"/>
                <w:sz w:val="21"/>
                <w:szCs w:val="21"/>
              </w:rPr>
            </w:pPr>
          </w:p>
        </w:tc>
        <w:tc>
          <w:tcPr>
            <w:tcW w:w="992" w:type="dxa"/>
            <w:tcBorders>
              <w:top w:val="nil"/>
              <w:left w:val="nil"/>
              <w:bottom w:val="single" w:color="auto" w:sz="4" w:space="0"/>
              <w:right w:val="single" w:color="auto" w:sz="4" w:space="0"/>
            </w:tcBorders>
            <w:noWrap/>
            <w:vAlign w:val="center"/>
          </w:tcPr>
          <w:p w14:paraId="11012681">
            <w:pPr>
              <w:widowControl/>
              <w:jc w:val="center"/>
              <w:rPr>
                <w:rFonts w:hint="eastAsia" w:hAnsi="仿宋" w:cs="Arial"/>
                <w:b/>
                <w:bCs/>
                <w:kern w:val="0"/>
                <w:sz w:val="21"/>
                <w:szCs w:val="21"/>
              </w:rPr>
            </w:pPr>
          </w:p>
        </w:tc>
        <w:tc>
          <w:tcPr>
            <w:tcW w:w="851" w:type="dxa"/>
            <w:tcBorders>
              <w:top w:val="nil"/>
              <w:left w:val="nil"/>
              <w:bottom w:val="single" w:color="auto" w:sz="4" w:space="0"/>
              <w:right w:val="single" w:color="auto" w:sz="4" w:space="0"/>
            </w:tcBorders>
            <w:noWrap/>
            <w:vAlign w:val="center"/>
          </w:tcPr>
          <w:p w14:paraId="1BE3B49A">
            <w:pPr>
              <w:widowControl/>
              <w:jc w:val="center"/>
              <w:rPr>
                <w:rFonts w:hint="default" w:hAnsi="仿宋" w:cs="Arial"/>
                <w:b/>
                <w:bCs/>
                <w:kern w:val="0"/>
                <w:sz w:val="21"/>
                <w:szCs w:val="21"/>
                <w:lang w:val="en-US" w:eastAsia="zh-CN"/>
              </w:rPr>
            </w:pPr>
            <w:r>
              <w:rPr>
                <w:rFonts w:hint="eastAsia" w:hAnsi="仿宋" w:cs="Arial"/>
                <w:b/>
                <w:bCs/>
                <w:kern w:val="0"/>
                <w:sz w:val="21"/>
                <w:szCs w:val="21"/>
                <w:lang w:val="en-US" w:eastAsia="zh-CN"/>
              </w:rPr>
              <w:t>12.9</w:t>
            </w:r>
          </w:p>
        </w:tc>
        <w:tc>
          <w:tcPr>
            <w:tcW w:w="4075" w:type="dxa"/>
            <w:tcBorders>
              <w:top w:val="nil"/>
              <w:left w:val="nil"/>
              <w:bottom w:val="single" w:color="auto" w:sz="4" w:space="0"/>
              <w:right w:val="single" w:color="auto" w:sz="4" w:space="0"/>
            </w:tcBorders>
            <w:noWrap/>
            <w:vAlign w:val="center"/>
          </w:tcPr>
          <w:p w14:paraId="174F33E4">
            <w:pPr>
              <w:widowControl/>
              <w:jc w:val="center"/>
              <w:rPr>
                <w:rFonts w:hint="eastAsia" w:hAnsi="仿宋" w:cs="Arial"/>
                <w:b/>
                <w:bCs/>
                <w:kern w:val="0"/>
                <w:sz w:val="21"/>
                <w:szCs w:val="21"/>
              </w:rPr>
            </w:pPr>
          </w:p>
        </w:tc>
      </w:tr>
      <w:tr w14:paraId="28E83476">
        <w:tblPrEx>
          <w:tblCellMar>
            <w:top w:w="0" w:type="dxa"/>
            <w:left w:w="108" w:type="dxa"/>
            <w:bottom w:w="0" w:type="dxa"/>
            <w:right w:w="108" w:type="dxa"/>
          </w:tblCellMar>
        </w:tblPrEx>
        <w:trPr>
          <w:trHeight w:val="567" w:hRule="atLeast"/>
        </w:trPr>
        <w:tc>
          <w:tcPr>
            <w:tcW w:w="651" w:type="dxa"/>
            <w:tcBorders>
              <w:top w:val="nil"/>
              <w:left w:val="single" w:color="auto" w:sz="4" w:space="0"/>
              <w:bottom w:val="single" w:color="auto" w:sz="4" w:space="0"/>
              <w:right w:val="single" w:color="auto" w:sz="4" w:space="0"/>
            </w:tcBorders>
            <w:noWrap/>
            <w:vAlign w:val="center"/>
          </w:tcPr>
          <w:p w14:paraId="7027B88F">
            <w:pPr>
              <w:widowControl/>
              <w:jc w:val="center"/>
              <w:rPr>
                <w:rFonts w:hint="eastAsia" w:hAnsi="仿宋" w:cs="Arial"/>
                <w:b/>
                <w:bCs/>
                <w:kern w:val="0"/>
                <w:sz w:val="21"/>
                <w:szCs w:val="21"/>
              </w:rPr>
            </w:pPr>
            <w:r>
              <w:rPr>
                <w:rFonts w:hint="eastAsia" w:hAnsi="仿宋" w:cs="Arial"/>
                <w:b/>
                <w:bCs/>
                <w:kern w:val="0"/>
                <w:sz w:val="21"/>
                <w:szCs w:val="21"/>
              </w:rPr>
              <w:t>宣传培训</w:t>
            </w:r>
          </w:p>
        </w:tc>
        <w:tc>
          <w:tcPr>
            <w:tcW w:w="1728" w:type="dxa"/>
            <w:tcBorders>
              <w:top w:val="nil"/>
              <w:left w:val="nil"/>
              <w:bottom w:val="single" w:color="auto" w:sz="4" w:space="0"/>
              <w:right w:val="single" w:color="auto" w:sz="4" w:space="0"/>
            </w:tcBorders>
            <w:noWrap/>
            <w:vAlign w:val="center"/>
          </w:tcPr>
          <w:p w14:paraId="1015BAB7">
            <w:pPr>
              <w:widowControl/>
              <w:jc w:val="center"/>
              <w:rPr>
                <w:rFonts w:hint="eastAsia" w:hAnsi="仿宋" w:cs="Arial"/>
                <w:b/>
                <w:bCs/>
                <w:kern w:val="0"/>
                <w:sz w:val="21"/>
                <w:szCs w:val="21"/>
              </w:rPr>
            </w:pPr>
            <w:r>
              <w:rPr>
                <w:rFonts w:hint="eastAsia" w:hAnsi="仿宋" w:cs="Arial"/>
                <w:b/>
                <w:bCs/>
                <w:kern w:val="0"/>
                <w:sz w:val="21"/>
                <w:szCs w:val="21"/>
              </w:rPr>
              <w:t>学习培训服务宣传</w:t>
            </w:r>
          </w:p>
        </w:tc>
        <w:tc>
          <w:tcPr>
            <w:tcW w:w="706" w:type="dxa"/>
            <w:tcBorders>
              <w:top w:val="nil"/>
              <w:left w:val="nil"/>
              <w:bottom w:val="single" w:color="auto" w:sz="4" w:space="0"/>
              <w:right w:val="single" w:color="auto" w:sz="4" w:space="0"/>
            </w:tcBorders>
            <w:noWrap/>
            <w:vAlign w:val="center"/>
          </w:tcPr>
          <w:p w14:paraId="77B4DCEA">
            <w:pPr>
              <w:widowControl/>
              <w:jc w:val="center"/>
              <w:rPr>
                <w:rFonts w:hint="eastAsia" w:hAnsi="仿宋" w:cs="Arial"/>
                <w:b/>
                <w:bCs/>
                <w:kern w:val="0"/>
                <w:sz w:val="21"/>
                <w:szCs w:val="21"/>
              </w:rPr>
            </w:pPr>
            <w:r>
              <w:rPr>
                <w:rFonts w:hint="eastAsia" w:hAnsi="仿宋" w:cs="Arial"/>
                <w:b/>
                <w:bCs/>
                <w:kern w:val="0"/>
                <w:sz w:val="21"/>
                <w:szCs w:val="21"/>
              </w:rPr>
              <w:t>　</w:t>
            </w:r>
          </w:p>
        </w:tc>
        <w:tc>
          <w:tcPr>
            <w:tcW w:w="992" w:type="dxa"/>
            <w:tcBorders>
              <w:top w:val="nil"/>
              <w:left w:val="nil"/>
              <w:bottom w:val="single" w:color="auto" w:sz="4" w:space="0"/>
              <w:right w:val="single" w:color="auto" w:sz="4" w:space="0"/>
            </w:tcBorders>
            <w:noWrap/>
            <w:vAlign w:val="center"/>
          </w:tcPr>
          <w:p w14:paraId="5FE8C0E1">
            <w:pPr>
              <w:widowControl/>
              <w:jc w:val="center"/>
              <w:rPr>
                <w:rFonts w:hint="eastAsia" w:hAnsi="仿宋" w:cs="Arial"/>
                <w:b/>
                <w:bCs/>
                <w:kern w:val="0"/>
                <w:sz w:val="21"/>
                <w:szCs w:val="21"/>
              </w:rPr>
            </w:pPr>
            <w:r>
              <w:rPr>
                <w:rFonts w:hint="eastAsia" w:hAnsi="仿宋" w:cs="Arial"/>
                <w:b/>
                <w:bCs/>
                <w:kern w:val="0"/>
                <w:sz w:val="21"/>
                <w:szCs w:val="21"/>
              </w:rPr>
              <w:t>　</w:t>
            </w:r>
          </w:p>
        </w:tc>
        <w:tc>
          <w:tcPr>
            <w:tcW w:w="851" w:type="dxa"/>
            <w:tcBorders>
              <w:top w:val="nil"/>
              <w:left w:val="nil"/>
              <w:bottom w:val="single" w:color="auto" w:sz="4" w:space="0"/>
              <w:right w:val="single" w:color="auto" w:sz="4" w:space="0"/>
            </w:tcBorders>
            <w:noWrap/>
            <w:vAlign w:val="center"/>
          </w:tcPr>
          <w:p w14:paraId="0F47CC79">
            <w:pPr>
              <w:widowControl/>
              <w:jc w:val="center"/>
              <w:rPr>
                <w:rFonts w:hint="default" w:hAnsi="仿宋" w:cs="Arial"/>
                <w:b/>
                <w:bCs/>
                <w:kern w:val="0"/>
                <w:sz w:val="21"/>
                <w:szCs w:val="21"/>
                <w:lang w:val="en-US" w:eastAsia="zh-CN"/>
              </w:rPr>
            </w:pPr>
            <w:r>
              <w:rPr>
                <w:rFonts w:hint="eastAsia" w:hAnsi="仿宋" w:cs="Arial"/>
                <w:b/>
                <w:bCs/>
                <w:kern w:val="0"/>
                <w:sz w:val="21"/>
                <w:szCs w:val="21"/>
                <w:lang w:val="en-US" w:eastAsia="zh-CN"/>
              </w:rPr>
              <w:t>8.1</w:t>
            </w:r>
          </w:p>
        </w:tc>
        <w:tc>
          <w:tcPr>
            <w:tcW w:w="4075" w:type="dxa"/>
            <w:tcBorders>
              <w:top w:val="nil"/>
              <w:left w:val="nil"/>
              <w:bottom w:val="single" w:color="auto" w:sz="4" w:space="0"/>
              <w:right w:val="single" w:color="auto" w:sz="4" w:space="0"/>
            </w:tcBorders>
            <w:noWrap/>
            <w:vAlign w:val="center"/>
          </w:tcPr>
          <w:p w14:paraId="302573A1">
            <w:pPr>
              <w:widowControl/>
              <w:jc w:val="center"/>
              <w:rPr>
                <w:rFonts w:hint="eastAsia" w:hAnsi="仿宋" w:cs="Arial"/>
                <w:b/>
                <w:bCs/>
                <w:kern w:val="0"/>
                <w:sz w:val="21"/>
                <w:szCs w:val="21"/>
                <w:lang w:eastAsia="zh-CN"/>
              </w:rPr>
            </w:pPr>
            <w:r>
              <w:rPr>
                <w:rFonts w:hint="eastAsia" w:hAnsi="仿宋" w:cs="Arial"/>
                <w:b/>
                <w:bCs/>
                <w:kern w:val="0"/>
                <w:sz w:val="21"/>
                <w:szCs w:val="21"/>
              </w:rPr>
              <w:t>　</w:t>
            </w:r>
            <w:r>
              <w:rPr>
                <w:rFonts w:hint="eastAsia" w:hAnsi="仿宋" w:cs="Arial"/>
                <w:b/>
                <w:bCs/>
                <w:kern w:val="0"/>
                <w:sz w:val="21"/>
                <w:szCs w:val="21"/>
                <w:lang w:val="en-US" w:eastAsia="zh-CN"/>
              </w:rPr>
              <w:t xml:space="preserve">  </w:t>
            </w:r>
            <w:r>
              <w:rPr>
                <w:rFonts w:hint="eastAsia" w:hAnsi="仿宋" w:cs="Arial"/>
                <w:b/>
                <w:bCs/>
                <w:kern w:val="0"/>
                <w:sz w:val="21"/>
                <w:szCs w:val="21"/>
              </w:rPr>
              <w:t>用于制作发放施肥建议卡等资料，</w:t>
            </w:r>
          </w:p>
          <w:p w14:paraId="4634D4B7">
            <w:pPr>
              <w:widowControl/>
              <w:jc w:val="center"/>
              <w:rPr>
                <w:rFonts w:hint="eastAsia" w:hAnsi="仿宋" w:cs="Arial"/>
                <w:b/>
                <w:bCs/>
                <w:kern w:val="0"/>
                <w:sz w:val="21"/>
                <w:szCs w:val="21"/>
                <w:lang w:eastAsia="zh-CN"/>
              </w:rPr>
            </w:pPr>
            <w:r>
              <w:rPr>
                <w:rFonts w:hint="eastAsia" w:hAnsi="仿宋" w:cs="Arial"/>
                <w:b/>
                <w:bCs/>
                <w:kern w:val="0"/>
                <w:sz w:val="21"/>
                <w:szCs w:val="21"/>
              </w:rPr>
              <w:t>开展现场观摩、面对面技术指导服务，</w:t>
            </w:r>
          </w:p>
          <w:p w14:paraId="40A8AD47">
            <w:pPr>
              <w:widowControl/>
              <w:jc w:val="center"/>
              <w:rPr>
                <w:rFonts w:hint="eastAsia" w:hAnsi="仿宋" w:cs="Arial"/>
                <w:b/>
                <w:bCs/>
                <w:kern w:val="0"/>
                <w:sz w:val="21"/>
                <w:szCs w:val="21"/>
              </w:rPr>
            </w:pPr>
            <w:r>
              <w:rPr>
                <w:rFonts w:hint="eastAsia" w:hAnsi="仿宋" w:cs="Arial"/>
                <w:b/>
                <w:bCs/>
                <w:kern w:val="0"/>
                <w:sz w:val="21"/>
                <w:szCs w:val="21"/>
              </w:rPr>
              <w:t>培训技术人员、农户等人员，示范区标</w:t>
            </w:r>
            <w:r>
              <w:rPr>
                <w:rFonts w:hint="eastAsia" w:hAnsi="仿宋" w:cs="Arial"/>
                <w:b/>
                <w:bCs/>
                <w:kern w:val="0"/>
                <w:sz w:val="21"/>
                <w:szCs w:val="21"/>
                <w:lang w:eastAsia="zh-CN"/>
              </w:rPr>
              <w:t>示</w:t>
            </w:r>
            <w:r>
              <w:rPr>
                <w:rFonts w:hint="eastAsia" w:hAnsi="仿宋" w:cs="Arial"/>
                <w:b/>
                <w:bCs/>
                <w:kern w:val="0"/>
                <w:sz w:val="21"/>
                <w:szCs w:val="21"/>
              </w:rPr>
              <w:t>牌</w:t>
            </w:r>
            <w:r>
              <w:rPr>
                <w:rFonts w:hint="eastAsia" w:hAnsi="仿宋" w:cs="Arial"/>
                <w:b/>
                <w:bCs/>
                <w:kern w:val="0"/>
                <w:sz w:val="21"/>
                <w:szCs w:val="21"/>
                <w:lang w:eastAsia="zh-CN"/>
              </w:rPr>
              <w:t>制作，</w:t>
            </w:r>
            <w:r>
              <w:rPr>
                <w:rFonts w:hint="eastAsia" w:hAnsi="仿宋" w:cs="Arial"/>
                <w:b/>
                <w:bCs/>
                <w:kern w:val="0"/>
                <w:sz w:val="21"/>
                <w:szCs w:val="21"/>
              </w:rPr>
              <w:t>开展施肥调查及参加省级技术学习等</w:t>
            </w:r>
          </w:p>
        </w:tc>
      </w:tr>
      <w:tr w14:paraId="4C11CBE7">
        <w:tblPrEx>
          <w:tblCellMar>
            <w:top w:w="0" w:type="dxa"/>
            <w:left w:w="108" w:type="dxa"/>
            <w:bottom w:w="0" w:type="dxa"/>
            <w:right w:w="108" w:type="dxa"/>
          </w:tblCellMar>
        </w:tblPrEx>
        <w:trPr>
          <w:trHeight w:val="567" w:hRule="atLeast"/>
        </w:trPr>
        <w:tc>
          <w:tcPr>
            <w:tcW w:w="651" w:type="dxa"/>
            <w:tcBorders>
              <w:top w:val="nil"/>
              <w:left w:val="single" w:color="auto" w:sz="4" w:space="0"/>
              <w:bottom w:val="single" w:color="auto" w:sz="4" w:space="0"/>
              <w:right w:val="single" w:color="auto" w:sz="4" w:space="0"/>
            </w:tcBorders>
            <w:noWrap/>
            <w:vAlign w:val="center"/>
          </w:tcPr>
          <w:p w14:paraId="3654F32E">
            <w:pPr>
              <w:widowControl/>
              <w:jc w:val="center"/>
              <w:rPr>
                <w:rFonts w:hint="eastAsia" w:hAnsi="仿宋" w:cs="Arial"/>
                <w:b/>
                <w:bCs/>
                <w:kern w:val="0"/>
                <w:sz w:val="21"/>
                <w:szCs w:val="21"/>
              </w:rPr>
            </w:pPr>
            <w:r>
              <w:rPr>
                <w:rFonts w:hint="eastAsia" w:hAnsi="仿宋" w:cs="Arial"/>
                <w:b/>
                <w:bCs/>
                <w:kern w:val="0"/>
                <w:sz w:val="21"/>
                <w:szCs w:val="21"/>
              </w:rPr>
              <w:t>　</w:t>
            </w:r>
          </w:p>
        </w:tc>
        <w:tc>
          <w:tcPr>
            <w:tcW w:w="1728" w:type="dxa"/>
            <w:tcBorders>
              <w:top w:val="nil"/>
              <w:left w:val="nil"/>
              <w:bottom w:val="single" w:color="auto" w:sz="4" w:space="0"/>
              <w:right w:val="single" w:color="auto" w:sz="4" w:space="0"/>
            </w:tcBorders>
            <w:noWrap/>
            <w:vAlign w:val="center"/>
          </w:tcPr>
          <w:p w14:paraId="2CBB8ED9">
            <w:pPr>
              <w:widowControl/>
              <w:jc w:val="center"/>
              <w:rPr>
                <w:rFonts w:hint="eastAsia" w:hAnsi="仿宋" w:cs="Arial"/>
                <w:b/>
                <w:bCs/>
                <w:kern w:val="0"/>
                <w:sz w:val="21"/>
                <w:szCs w:val="21"/>
              </w:rPr>
            </w:pPr>
            <w:r>
              <w:rPr>
                <w:rFonts w:hint="eastAsia" w:hAnsi="仿宋" w:cs="Arial"/>
                <w:b/>
                <w:bCs/>
                <w:kern w:val="0"/>
                <w:sz w:val="21"/>
                <w:szCs w:val="21"/>
              </w:rPr>
              <w:t>小计</w:t>
            </w:r>
          </w:p>
        </w:tc>
        <w:tc>
          <w:tcPr>
            <w:tcW w:w="706" w:type="dxa"/>
            <w:tcBorders>
              <w:top w:val="nil"/>
              <w:left w:val="nil"/>
              <w:bottom w:val="single" w:color="auto" w:sz="4" w:space="0"/>
              <w:right w:val="single" w:color="auto" w:sz="4" w:space="0"/>
            </w:tcBorders>
            <w:noWrap/>
            <w:vAlign w:val="center"/>
          </w:tcPr>
          <w:p w14:paraId="6F852332">
            <w:pPr>
              <w:widowControl/>
              <w:jc w:val="center"/>
              <w:rPr>
                <w:rFonts w:hint="eastAsia" w:hAnsi="仿宋" w:cs="Arial"/>
                <w:b/>
                <w:bCs/>
                <w:kern w:val="0"/>
                <w:sz w:val="21"/>
                <w:szCs w:val="21"/>
              </w:rPr>
            </w:pPr>
            <w:r>
              <w:rPr>
                <w:rFonts w:hint="eastAsia" w:hAnsi="仿宋" w:cs="Arial"/>
                <w:b/>
                <w:bCs/>
                <w:kern w:val="0"/>
                <w:sz w:val="21"/>
                <w:szCs w:val="21"/>
              </w:rPr>
              <w:t>　</w:t>
            </w:r>
          </w:p>
        </w:tc>
        <w:tc>
          <w:tcPr>
            <w:tcW w:w="992" w:type="dxa"/>
            <w:tcBorders>
              <w:top w:val="nil"/>
              <w:left w:val="nil"/>
              <w:bottom w:val="single" w:color="auto" w:sz="4" w:space="0"/>
              <w:right w:val="single" w:color="auto" w:sz="4" w:space="0"/>
            </w:tcBorders>
            <w:noWrap/>
            <w:vAlign w:val="center"/>
          </w:tcPr>
          <w:p w14:paraId="5C51FFAF">
            <w:pPr>
              <w:widowControl/>
              <w:jc w:val="center"/>
              <w:rPr>
                <w:rFonts w:hint="eastAsia" w:hAnsi="仿宋" w:cs="Arial"/>
                <w:b/>
                <w:bCs/>
                <w:kern w:val="0"/>
                <w:sz w:val="21"/>
                <w:szCs w:val="21"/>
              </w:rPr>
            </w:pPr>
            <w:r>
              <w:rPr>
                <w:rFonts w:hint="eastAsia" w:hAnsi="仿宋" w:cs="Arial"/>
                <w:b/>
                <w:bCs/>
                <w:kern w:val="0"/>
                <w:sz w:val="21"/>
                <w:szCs w:val="21"/>
              </w:rPr>
              <w:t>　</w:t>
            </w:r>
          </w:p>
        </w:tc>
        <w:tc>
          <w:tcPr>
            <w:tcW w:w="851" w:type="dxa"/>
            <w:tcBorders>
              <w:top w:val="nil"/>
              <w:left w:val="nil"/>
              <w:bottom w:val="single" w:color="auto" w:sz="4" w:space="0"/>
              <w:right w:val="single" w:color="auto" w:sz="4" w:space="0"/>
            </w:tcBorders>
            <w:noWrap/>
            <w:vAlign w:val="center"/>
          </w:tcPr>
          <w:p w14:paraId="3D429F56">
            <w:pPr>
              <w:widowControl/>
              <w:jc w:val="center"/>
              <w:rPr>
                <w:rFonts w:hint="default" w:hAnsi="仿宋" w:cs="Arial"/>
                <w:b/>
                <w:bCs/>
                <w:kern w:val="0"/>
                <w:sz w:val="21"/>
                <w:szCs w:val="21"/>
                <w:lang w:val="en-US" w:eastAsia="zh-CN"/>
              </w:rPr>
            </w:pPr>
            <w:r>
              <w:rPr>
                <w:rFonts w:hint="eastAsia" w:hAnsi="仿宋" w:cs="Arial"/>
                <w:b/>
                <w:bCs/>
                <w:kern w:val="0"/>
                <w:sz w:val="21"/>
                <w:szCs w:val="21"/>
                <w:lang w:val="en-US" w:eastAsia="zh-CN"/>
              </w:rPr>
              <w:t>8.1</w:t>
            </w:r>
          </w:p>
        </w:tc>
        <w:tc>
          <w:tcPr>
            <w:tcW w:w="4075" w:type="dxa"/>
            <w:tcBorders>
              <w:top w:val="nil"/>
              <w:left w:val="nil"/>
              <w:bottom w:val="single" w:color="auto" w:sz="4" w:space="0"/>
              <w:right w:val="single" w:color="auto" w:sz="4" w:space="0"/>
            </w:tcBorders>
            <w:noWrap/>
            <w:vAlign w:val="center"/>
          </w:tcPr>
          <w:p w14:paraId="1328FECA">
            <w:pPr>
              <w:widowControl/>
              <w:jc w:val="center"/>
              <w:rPr>
                <w:rFonts w:hint="eastAsia" w:hAnsi="仿宋" w:cs="Arial"/>
                <w:b/>
                <w:bCs/>
                <w:kern w:val="0"/>
                <w:sz w:val="21"/>
                <w:szCs w:val="21"/>
              </w:rPr>
            </w:pPr>
            <w:r>
              <w:rPr>
                <w:rFonts w:hint="eastAsia" w:hAnsi="仿宋" w:cs="Arial"/>
                <w:b/>
                <w:bCs/>
                <w:kern w:val="0"/>
                <w:sz w:val="21"/>
                <w:szCs w:val="21"/>
              </w:rPr>
              <w:t>　</w:t>
            </w:r>
          </w:p>
        </w:tc>
      </w:tr>
      <w:tr w14:paraId="7516B1B9">
        <w:tblPrEx>
          <w:tblCellMar>
            <w:top w:w="0" w:type="dxa"/>
            <w:left w:w="108" w:type="dxa"/>
            <w:bottom w:w="0" w:type="dxa"/>
            <w:right w:w="108" w:type="dxa"/>
          </w:tblCellMar>
        </w:tblPrEx>
        <w:trPr>
          <w:trHeight w:val="567" w:hRule="atLeast"/>
        </w:trPr>
        <w:tc>
          <w:tcPr>
            <w:tcW w:w="2379" w:type="dxa"/>
            <w:gridSpan w:val="2"/>
            <w:tcBorders>
              <w:top w:val="single" w:color="auto" w:sz="4" w:space="0"/>
              <w:left w:val="single" w:color="auto" w:sz="4" w:space="0"/>
              <w:bottom w:val="single" w:color="auto" w:sz="4" w:space="0"/>
              <w:right w:val="single" w:color="auto" w:sz="4" w:space="0"/>
            </w:tcBorders>
            <w:noWrap/>
            <w:vAlign w:val="center"/>
          </w:tcPr>
          <w:p w14:paraId="6528B619">
            <w:pPr>
              <w:widowControl/>
              <w:jc w:val="center"/>
              <w:rPr>
                <w:rFonts w:hint="eastAsia" w:hAnsi="仿宋" w:cs="Arial"/>
                <w:b/>
                <w:bCs/>
                <w:kern w:val="0"/>
                <w:sz w:val="21"/>
                <w:szCs w:val="21"/>
              </w:rPr>
            </w:pPr>
            <w:r>
              <w:rPr>
                <w:rFonts w:hint="eastAsia" w:hAnsi="仿宋" w:cs="Arial"/>
                <w:b/>
                <w:bCs/>
                <w:kern w:val="0"/>
                <w:sz w:val="21"/>
                <w:szCs w:val="21"/>
              </w:rPr>
              <w:t>合计</w:t>
            </w:r>
          </w:p>
        </w:tc>
        <w:tc>
          <w:tcPr>
            <w:tcW w:w="706" w:type="dxa"/>
            <w:tcBorders>
              <w:top w:val="nil"/>
              <w:left w:val="nil"/>
              <w:bottom w:val="single" w:color="auto" w:sz="4" w:space="0"/>
              <w:right w:val="single" w:color="auto" w:sz="4" w:space="0"/>
            </w:tcBorders>
            <w:noWrap/>
            <w:vAlign w:val="center"/>
          </w:tcPr>
          <w:p w14:paraId="03703748">
            <w:pPr>
              <w:widowControl/>
              <w:jc w:val="center"/>
              <w:rPr>
                <w:rFonts w:hint="eastAsia" w:hAnsi="仿宋" w:cs="Arial"/>
                <w:b/>
                <w:bCs/>
                <w:kern w:val="0"/>
                <w:sz w:val="21"/>
                <w:szCs w:val="21"/>
              </w:rPr>
            </w:pPr>
            <w:r>
              <w:rPr>
                <w:rFonts w:hint="eastAsia" w:hAnsi="仿宋" w:cs="Arial"/>
                <w:b/>
                <w:bCs/>
                <w:kern w:val="0"/>
                <w:sz w:val="21"/>
                <w:szCs w:val="21"/>
              </w:rPr>
              <w:t>　</w:t>
            </w:r>
          </w:p>
        </w:tc>
        <w:tc>
          <w:tcPr>
            <w:tcW w:w="992" w:type="dxa"/>
            <w:tcBorders>
              <w:top w:val="nil"/>
              <w:left w:val="nil"/>
              <w:bottom w:val="single" w:color="auto" w:sz="4" w:space="0"/>
              <w:right w:val="single" w:color="auto" w:sz="4" w:space="0"/>
            </w:tcBorders>
            <w:noWrap/>
            <w:vAlign w:val="center"/>
          </w:tcPr>
          <w:p w14:paraId="4F5C0D82">
            <w:pPr>
              <w:widowControl/>
              <w:jc w:val="center"/>
              <w:rPr>
                <w:rFonts w:hint="eastAsia" w:hAnsi="仿宋" w:cs="Arial"/>
                <w:b/>
                <w:bCs/>
                <w:kern w:val="0"/>
                <w:sz w:val="21"/>
                <w:szCs w:val="21"/>
              </w:rPr>
            </w:pPr>
            <w:r>
              <w:rPr>
                <w:rFonts w:hint="eastAsia" w:hAnsi="仿宋" w:cs="Arial"/>
                <w:b/>
                <w:bCs/>
                <w:kern w:val="0"/>
                <w:sz w:val="21"/>
                <w:szCs w:val="21"/>
              </w:rPr>
              <w:t>　</w:t>
            </w:r>
          </w:p>
        </w:tc>
        <w:tc>
          <w:tcPr>
            <w:tcW w:w="851" w:type="dxa"/>
            <w:tcBorders>
              <w:top w:val="nil"/>
              <w:left w:val="nil"/>
              <w:bottom w:val="single" w:color="auto" w:sz="4" w:space="0"/>
              <w:right w:val="single" w:color="auto" w:sz="4" w:space="0"/>
            </w:tcBorders>
            <w:noWrap/>
            <w:vAlign w:val="center"/>
          </w:tcPr>
          <w:p w14:paraId="4F7BC0EA">
            <w:pPr>
              <w:widowControl/>
              <w:jc w:val="center"/>
              <w:rPr>
                <w:rFonts w:hint="default" w:hAnsi="仿宋" w:cs="Arial"/>
                <w:b/>
                <w:bCs/>
                <w:kern w:val="0"/>
                <w:sz w:val="21"/>
                <w:szCs w:val="21"/>
                <w:lang w:val="en-US" w:eastAsia="zh-CN"/>
              </w:rPr>
            </w:pPr>
            <w:r>
              <w:rPr>
                <w:rFonts w:hint="eastAsia" w:hAnsi="仿宋" w:cs="Arial"/>
                <w:b/>
                <w:bCs/>
                <w:kern w:val="0"/>
                <w:sz w:val="21"/>
                <w:szCs w:val="21"/>
                <w:lang w:val="en-US" w:eastAsia="zh-CN"/>
              </w:rPr>
              <w:t>21</w:t>
            </w:r>
          </w:p>
        </w:tc>
        <w:tc>
          <w:tcPr>
            <w:tcW w:w="4075" w:type="dxa"/>
            <w:tcBorders>
              <w:top w:val="nil"/>
              <w:left w:val="nil"/>
              <w:bottom w:val="single" w:color="auto" w:sz="4" w:space="0"/>
              <w:right w:val="single" w:color="auto" w:sz="4" w:space="0"/>
            </w:tcBorders>
            <w:noWrap w:val="0"/>
            <w:vAlign w:val="center"/>
          </w:tcPr>
          <w:p w14:paraId="44B2092F">
            <w:pPr>
              <w:widowControl/>
              <w:jc w:val="center"/>
              <w:rPr>
                <w:rFonts w:hint="eastAsia" w:hAnsi="仿宋" w:cs="Arial"/>
                <w:b/>
                <w:bCs/>
                <w:kern w:val="0"/>
                <w:sz w:val="21"/>
                <w:szCs w:val="21"/>
              </w:rPr>
            </w:pPr>
          </w:p>
        </w:tc>
      </w:tr>
    </w:tbl>
    <w:p w14:paraId="28D08D88">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0302"/>
      <w:docPartObj>
        <w:docPartGallery w:val="autotext"/>
      </w:docPartObj>
    </w:sdtPr>
    <w:sdtContent>
      <w:p w14:paraId="1E1B91DE">
        <w:pPr>
          <w:pStyle w:val="3"/>
          <w:jc w:val="center"/>
        </w:pPr>
      </w:p>
    </w:sdtContent>
  </w:sdt>
  <w:p w14:paraId="18BD9A49">
    <w:pPr>
      <w:pStyle w:val="3"/>
      <w:wordWrap w:val="0"/>
      <w:ind w:right="1120" w:firstLine="280" w:firstLineChars="100"/>
      <w:jc w:val="right"/>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F6C2">
    <w:pPr>
      <w:pStyle w:val="3"/>
      <w:jc w:val="center"/>
    </w:pPr>
  </w:p>
  <w:p w14:paraId="779BE5E7">
    <w:pPr>
      <w:pStyle w:val="3"/>
      <w:ind w:firstLine="280" w:firstLineChars="100"/>
      <w:rPr>
        <w:rFonts w:ascii="仿宋" w:hAnsi="仿宋" w:eastAsia="仿宋"/>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177AE">
    <w:pPr>
      <w:pStyle w:val="3"/>
      <w:jc w:val="center"/>
    </w:pPr>
  </w:p>
  <w:p w14:paraId="1732FFA9">
    <w:pPr>
      <w:pStyle w:val="3"/>
      <w:ind w:firstLine="280" w:firstLineChars="100"/>
      <w:rPr>
        <w:rFonts w:ascii="仿宋" w:hAnsi="仿宋" w:eastAsia="仿宋"/>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F91B4">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E821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E5228"/>
    <w:rsid w:val="1F907359"/>
    <w:rsid w:val="288701DD"/>
    <w:rsid w:val="343E5228"/>
    <w:rsid w:val="599E79C6"/>
    <w:rsid w:val="5DC6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黑体" w:eastAsia="仿宋" w:cstheme="minorBidi"/>
      <w:kern w:val="2"/>
      <w:sz w:val="32"/>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580" w:lineRule="exact"/>
      <w:ind w:firstLine="880" w:firstLineChars="200"/>
    </w:pPr>
    <w:rPr>
      <w:rFonts w:ascii="Calibri" w:hAnsi="Calibri" w:eastAsia="宋体" w:cs="Times New Roman"/>
      <w:szCs w:val="24"/>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2626</Words>
  <Characters>2723</Characters>
  <Lines>0</Lines>
  <Paragraphs>0</Paragraphs>
  <TotalTime>19</TotalTime>
  <ScaleCrop>false</ScaleCrop>
  <LinksUpToDate>false</LinksUpToDate>
  <CharactersWithSpaces>2818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2025-05-21T03:31:00Z</dcterms:created>
  <dc:creator>小祁小祁 披荆斩棘</dc:creator>
  <cp:lastModifiedBy>哈哈哈</cp:lastModifiedBy>
  <dcterms:modified xsi:type="dcterms:W3CDTF">2025-07-17T03:07:56Z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7AC404B7EAAA4884ADE90D9ED5372157_11</vt:lpwstr>
  </property>
  <property fmtid="{D5CDD505-2E9C-101B-9397-08002B2CF9AE}" pid="4" name="KSOTemplateDocerSaveRecord">
    <vt:lpwstr>eyJoZGlkIjoiOTBlNmFjZmViNmI3YmJjYjY3MGFkMTU0YjMwYjU5ZTYiLCJ1c2VySWQiOiIzNjkyMzk5OTYifQ==</vt:lpwstr>
  </property>
</Properties>
</file>