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35030">
      <w:pPr>
        <w:widowControl/>
        <w:spacing w:line="700" w:lineRule="exact"/>
        <w:jc w:val="center"/>
        <w:rPr>
          <w:rFonts w:hint="eastAsia" w:ascii="方正小标宋简体" w:hAnsi="仿宋" w:eastAsia="方正小标宋简体"/>
          <w:color w:val="000000" w:themeColor="text1"/>
          <w:sz w:val="44"/>
          <w:szCs w:val="44"/>
          <w:highlight w:val="none"/>
          <w:lang w:eastAsia="zh-CN"/>
          <w14:textFill>
            <w14:solidFill>
              <w14:schemeClr w14:val="tx1"/>
            </w14:solidFill>
          </w14:textFill>
        </w:rPr>
      </w:pPr>
      <w:bookmarkStart w:id="1" w:name="_GoBack"/>
      <w:bookmarkStart w:id="0" w:name="zhengwen"/>
      <w:r>
        <w:rPr>
          <w:rFonts w:hint="eastAsia" w:ascii="方正小标宋简体" w:hAnsi="仿宋" w:eastAsia="方正小标宋简体"/>
          <w:color w:val="000000" w:themeColor="text1"/>
          <w:sz w:val="44"/>
          <w:szCs w:val="44"/>
          <w:highlight w:val="none"/>
          <w:lang w:eastAsia="zh-CN"/>
          <w14:textFill>
            <w14:solidFill>
              <w14:schemeClr w14:val="tx1"/>
            </w14:solidFill>
          </w14:textFill>
        </w:rPr>
        <w:t>汝州市</w:t>
      </w:r>
      <w:r>
        <w:rPr>
          <w:rFonts w:hint="eastAsia" w:ascii="方正小标宋简体" w:hAnsi="仿宋" w:eastAsia="方正小标宋简体"/>
          <w:color w:val="000000" w:themeColor="text1"/>
          <w:sz w:val="44"/>
          <w:szCs w:val="44"/>
          <w:highlight w:val="none"/>
          <w14:textFill>
            <w14:solidFill>
              <w14:schemeClr w14:val="tx1"/>
            </w14:solidFill>
          </w14:textFill>
        </w:rPr>
        <w:t>烟草制品零售点合理布局</w:t>
      </w:r>
      <w:r>
        <w:rPr>
          <w:rFonts w:hint="eastAsia" w:ascii="方正小标宋简体" w:hAnsi="仿宋" w:eastAsia="方正小标宋简体"/>
          <w:color w:val="000000" w:themeColor="text1"/>
          <w:sz w:val="44"/>
          <w:szCs w:val="44"/>
          <w:highlight w:val="none"/>
          <w:lang w:eastAsia="zh-CN"/>
          <w14:textFill>
            <w14:solidFill>
              <w14:schemeClr w14:val="tx1"/>
            </w14:solidFill>
          </w14:textFill>
        </w:rPr>
        <w:t>规定</w:t>
      </w:r>
    </w:p>
    <w:bookmarkEnd w:id="1"/>
    <w:p w14:paraId="13B147A8">
      <w:pPr>
        <w:keepNext w:val="0"/>
        <w:keepLines w:val="0"/>
        <w:pageBreakBefore w:val="0"/>
        <w:widowControl/>
        <w:kinsoku/>
        <w:wordWrap/>
        <w:overflowPunct/>
        <w:topLinePunct w:val="0"/>
        <w:autoSpaceDE/>
        <w:autoSpaceDN/>
        <w:bidi w:val="0"/>
        <w:adjustRightInd/>
        <w:snapToGrid/>
        <w:spacing w:line="575" w:lineRule="exact"/>
        <w:ind w:firstLine="632" w:firstLineChars="200"/>
        <w:textAlignment w:val="auto"/>
        <w:rPr>
          <w:rFonts w:hint="default"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 xml:space="preserve">                                                     </w:t>
      </w:r>
    </w:p>
    <w:p w14:paraId="2FC0F889">
      <w:pPr>
        <w:keepNext w:val="0"/>
        <w:keepLines w:val="0"/>
        <w:pageBreakBefore w:val="0"/>
        <w:kinsoku/>
        <w:wordWrap/>
        <w:overflowPunct/>
        <w:topLinePunct w:val="0"/>
        <w:autoSpaceDE/>
        <w:autoSpaceDN/>
        <w:bidi w:val="0"/>
        <w:adjustRightInd/>
        <w:snapToGrid/>
        <w:spacing w:line="575" w:lineRule="exact"/>
        <w:jc w:val="center"/>
        <w:textAlignment w:val="auto"/>
        <w:rPr>
          <w:rFonts w:ascii="仿宋_GB2312" w:hAnsi="仿宋" w:eastAsia="仿宋_GB2312" w:cs="楷体"/>
          <w:color w:val="000000" w:themeColor="text1"/>
          <w:kern w:val="0"/>
          <w:sz w:val="32"/>
          <w:szCs w:val="32"/>
          <w:highlight w:val="none"/>
          <w:shd w:val="clear" w:color="auto" w:fill="FFFFFF"/>
          <w14:textFill>
            <w14:solidFill>
              <w14:schemeClr w14:val="tx1"/>
            </w14:solidFill>
          </w14:textFill>
        </w:rPr>
      </w:pPr>
      <w:r>
        <w:rPr>
          <w:rFonts w:hint="eastAsia" w:ascii="黑体" w:hAnsi="黑体" w:eastAsia="黑体" w:cs="黑体"/>
          <w:color w:val="000000" w:themeColor="text1"/>
          <w:kern w:val="0"/>
          <w:sz w:val="32"/>
          <w:szCs w:val="32"/>
          <w:highlight w:val="none"/>
          <w:shd w:val="clear" w:color="auto" w:fill="FFFFFF"/>
          <w14:textFill>
            <w14:solidFill>
              <w14:schemeClr w14:val="tx1"/>
            </w14:solidFill>
          </w14:textFill>
        </w:rPr>
        <w:t>第一章  总  则</w:t>
      </w:r>
    </w:p>
    <w:p w14:paraId="3987764A">
      <w:pPr>
        <w:keepNext w:val="0"/>
        <w:keepLines w:val="0"/>
        <w:pageBreakBefore w:val="0"/>
        <w:kinsoku/>
        <w:wordWrap/>
        <w:overflowPunct/>
        <w:topLinePunct w:val="0"/>
        <w:autoSpaceDE/>
        <w:autoSpaceDN/>
        <w:bidi w:val="0"/>
        <w:adjustRightInd/>
        <w:snapToGrid/>
        <w:spacing w:line="575" w:lineRule="exact"/>
        <w:ind w:firstLine="632" w:firstLineChars="200"/>
        <w:jc w:val="lef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第一条</w:t>
      </w:r>
      <w:r>
        <w:rPr>
          <w:rFonts w:ascii="仿宋" w:hAnsi="仿宋" w:eastAsia="仿宋" w:cs="黑体"/>
          <w:bCs/>
          <w:color w:val="000000" w:themeColor="text1"/>
          <w:kern w:val="0"/>
          <w:sz w:val="32"/>
          <w:szCs w:val="32"/>
          <w:highlight w:val="none"/>
          <w:shd w:val="clear" w:color="auto" w:fill="FFFFFF"/>
          <w14:textFill>
            <w14:solidFill>
              <w14:schemeClr w14:val="tx1"/>
            </w14:solidFill>
          </w14:textFill>
        </w:rPr>
        <w:t xml:space="preserve">  </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为规范烟草制品零售市场经营秩序，维护国家利益、消费者利益和消费者的合法权益，加强烟草专卖零售许可证的管理，促进烟草市场健康发展，保护未成年人权益，根据《中华人民共和国烟草专卖法》《中华人民共和国行政许可法》《中华人民共和国未成年人保护法》《中华人民共和国烟草专卖法实施条例》《烟草专卖许可证管理办法》《烟草专卖许可证管理办法实施细则》等法律、法规、规章和规范性文件的规定，结合本辖区实际，制订本规</w:t>
      </w:r>
      <w:r>
        <w:rPr>
          <w:rFonts w:hint="eastAsia" w:ascii="仿宋" w:hAnsi="仿宋" w:eastAsia="仿宋" w:cs="仿宋"/>
          <w:color w:val="000000" w:themeColor="text1"/>
          <w:kern w:val="0"/>
          <w:sz w:val="32"/>
          <w:szCs w:val="32"/>
          <w:highlight w:val="none"/>
          <w:shd w:val="clear" w:color="auto" w:fill="FFFFFF"/>
          <w:lang w:eastAsia="zh-CN"/>
          <w14:textFill>
            <w14:solidFill>
              <w14:schemeClr w14:val="tx1"/>
            </w14:solidFill>
          </w14:textFill>
        </w:rPr>
        <w:t>定</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w:t>
      </w:r>
    </w:p>
    <w:p w14:paraId="729B36A8">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lang w:val="en-US" w:eastAsia="zh-CN" w:bidi="ar-SA"/>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第二条</w:t>
      </w:r>
      <w:r>
        <w:rPr>
          <w:rFonts w:ascii="仿宋" w:hAnsi="仿宋" w:eastAsia="仿宋" w:cs="黑体"/>
          <w:bCs/>
          <w:color w:val="000000" w:themeColor="text1"/>
          <w:kern w:val="0"/>
          <w:sz w:val="32"/>
          <w:szCs w:val="32"/>
          <w:highlight w:val="none"/>
          <w:shd w:val="clear" w:color="auto" w:fill="FFFFFF"/>
          <w14:textFill>
            <w14:solidFill>
              <w14:schemeClr w14:val="tx1"/>
            </w14:solidFill>
          </w14:textFill>
        </w:rPr>
        <w:t xml:space="preserve">  </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本规</w:t>
      </w:r>
      <w:r>
        <w:rPr>
          <w:rFonts w:hint="eastAsia" w:ascii="仿宋" w:hAnsi="仿宋" w:eastAsia="仿宋" w:cs="仿宋"/>
          <w:color w:val="000000" w:themeColor="text1"/>
          <w:kern w:val="0"/>
          <w:sz w:val="32"/>
          <w:szCs w:val="32"/>
          <w:highlight w:val="none"/>
          <w:shd w:val="clear" w:color="auto" w:fill="FFFFFF"/>
          <w:lang w:val="en-US" w:eastAsia="zh-CN" w:bidi="ar-SA"/>
          <w14:textFill>
            <w14:solidFill>
              <w14:schemeClr w14:val="tx1"/>
            </w14:solidFill>
          </w14:textFill>
        </w:rPr>
        <w:t>定适用于汝州市行政区域范围内烟草制品零售点的设置与管理。</w:t>
      </w:r>
    </w:p>
    <w:p w14:paraId="48A11D41">
      <w:pPr>
        <w:keepNext w:val="0"/>
        <w:keepLines w:val="0"/>
        <w:pageBreakBefore w:val="0"/>
        <w:kinsoku/>
        <w:wordWrap/>
        <w:overflowPunct/>
        <w:topLinePunct w:val="0"/>
        <w:autoSpaceDE/>
        <w:autoSpaceDN/>
        <w:bidi w:val="0"/>
        <w:adjustRightInd/>
        <w:snapToGrid/>
        <w:spacing w:line="575" w:lineRule="exact"/>
        <w:ind w:firstLine="632" w:firstLineChars="200"/>
        <w:jc w:val="left"/>
        <w:textAlignment w:val="auto"/>
        <w:rPr>
          <w:rFonts w:ascii="仿宋" w:hAnsi="仿宋" w:eastAsia="仿宋" w:cs="仿宋"/>
          <w:color w:val="000000" w:themeColor="text1"/>
          <w:kern w:val="0"/>
          <w:sz w:val="32"/>
          <w:szCs w:val="32"/>
          <w:highlight w:val="none"/>
          <w:shd w:val="clear" w:color="auto" w:fill="FFFFFF"/>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第三条</w:t>
      </w:r>
      <w:r>
        <w:rPr>
          <w:rFonts w:ascii="仿宋" w:hAnsi="仿宋" w:eastAsia="仿宋" w:cs="仿宋"/>
          <w:color w:val="000000" w:themeColor="text1"/>
          <w:kern w:val="0"/>
          <w:sz w:val="32"/>
          <w:szCs w:val="32"/>
          <w:highlight w:val="none"/>
          <w:shd w:val="clear" w:color="auto" w:fill="FFFFFF"/>
          <w14:textFill>
            <w14:solidFill>
              <w14:schemeClr w14:val="tx1"/>
            </w14:solidFill>
          </w14:textFill>
        </w:rPr>
        <w:t xml:space="preserve">  </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烟草制品零售点（以下简称“零售点”）是指依法取得烟草专卖零售许可证从事烟草制品零售业务的公民、法人及其他组织开展烟草制品零售业务的经营场所，且经营场所应具备满足最低经营需求的基本设施条件，形成初步的经营业态。</w:t>
      </w:r>
    </w:p>
    <w:p w14:paraId="581E6A3A">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ascii="仿宋" w:hAnsi="仿宋" w:eastAsia="仿宋" w:cs="仿宋"/>
          <w:color w:val="000000" w:themeColor="text1"/>
          <w:kern w:val="0"/>
          <w:sz w:val="32"/>
          <w:szCs w:val="32"/>
          <w:highlight w:val="none"/>
          <w:shd w:val="clear" w:color="auto" w:fill="FFFFFF"/>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第四条</w:t>
      </w:r>
      <w:r>
        <w:rPr>
          <w:rFonts w:ascii="仿宋" w:hAnsi="仿宋" w:eastAsia="仿宋" w:cs="黑体"/>
          <w:bCs/>
          <w:color w:val="000000" w:themeColor="text1"/>
          <w:kern w:val="0"/>
          <w:sz w:val="32"/>
          <w:szCs w:val="32"/>
          <w:highlight w:val="none"/>
          <w:shd w:val="clear" w:color="auto" w:fill="FFFFFF"/>
          <w14:textFill>
            <w14:solidFill>
              <w14:schemeClr w14:val="tx1"/>
            </w14:solidFill>
          </w14:textFill>
        </w:rPr>
        <w:t xml:space="preserve">  </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烟草制品零售点合理布局以市场为导向，遵循依法行政、科学规划、服务社会、均衡发展的原则。</w:t>
      </w:r>
    </w:p>
    <w:p w14:paraId="64E7791D">
      <w:pPr>
        <w:keepNext w:val="0"/>
        <w:keepLines w:val="0"/>
        <w:pageBreakBefore w:val="0"/>
        <w:kinsoku/>
        <w:wordWrap/>
        <w:overflowPunct/>
        <w:topLinePunct w:val="0"/>
        <w:autoSpaceDE/>
        <w:autoSpaceDN/>
        <w:bidi w:val="0"/>
        <w:adjustRightInd/>
        <w:snapToGrid/>
        <w:spacing w:line="575" w:lineRule="exact"/>
        <w:ind w:firstLine="632" w:firstLineChars="200"/>
        <w:jc w:val="left"/>
        <w:textAlignment w:val="auto"/>
        <w:rPr>
          <w:rFonts w:ascii="仿宋" w:hAnsi="仿宋" w:eastAsia="仿宋" w:cs="仿宋"/>
          <w:color w:val="000000" w:themeColor="text1"/>
          <w:sz w:val="32"/>
          <w:szCs w:val="32"/>
          <w:highlight w:val="none"/>
          <w:shd w:val="clear" w:color="auto" w:fill="FFFFFF"/>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第</w:t>
      </w:r>
      <w:r>
        <w:rPr>
          <w:rFonts w:hint="eastAsia" w:ascii="楷体" w:hAnsi="楷体" w:eastAsia="楷体" w:cs="黑体"/>
          <w:bCs/>
          <w:color w:val="000000" w:themeColor="text1"/>
          <w:kern w:val="0"/>
          <w:sz w:val="32"/>
          <w:szCs w:val="32"/>
          <w:highlight w:val="none"/>
          <w:shd w:val="clear" w:color="auto" w:fill="FFFFFF"/>
          <w:lang w:eastAsia="zh-CN"/>
          <w14:textFill>
            <w14:solidFill>
              <w14:schemeClr w14:val="tx1"/>
            </w14:solidFill>
          </w14:textFill>
        </w:rPr>
        <w:t>五</w:t>
      </w: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 xml:space="preserve">条  </w:t>
      </w:r>
      <w:r>
        <w:rPr>
          <w:rFonts w:hint="eastAsia" w:ascii="仿宋" w:hAnsi="仿宋" w:eastAsia="仿宋" w:cs="仿宋"/>
          <w:color w:val="000000" w:themeColor="text1"/>
          <w:kern w:val="0"/>
          <w:sz w:val="32"/>
          <w:szCs w:val="32"/>
          <w:highlight w:val="none"/>
          <w:shd w:val="clear" w:color="auto" w:fill="FFFFFF"/>
          <w:lang w:val="en-US" w:eastAsia="zh-CN" w:bidi="ar-SA"/>
          <w14:textFill>
            <w14:solidFill>
              <w14:schemeClr w14:val="tx1"/>
            </w14:solidFill>
          </w14:textFill>
        </w:rPr>
        <w:t>零售点合理布局规定应向社会公示。</w:t>
      </w:r>
    </w:p>
    <w:p w14:paraId="63817723">
      <w:pPr>
        <w:keepNext w:val="0"/>
        <w:keepLines w:val="0"/>
        <w:pageBreakBefore w:val="0"/>
        <w:kinsoku/>
        <w:wordWrap/>
        <w:overflowPunct/>
        <w:topLinePunct w:val="0"/>
        <w:autoSpaceDE/>
        <w:autoSpaceDN/>
        <w:bidi w:val="0"/>
        <w:adjustRightInd/>
        <w:snapToGrid/>
        <w:spacing w:line="575" w:lineRule="exact"/>
        <w:jc w:val="center"/>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shd w:val="clear" w:color="auto" w:fill="FFFFFF"/>
          <w14:textFill>
            <w14:solidFill>
              <w14:schemeClr w14:val="tx1"/>
            </w14:solidFill>
          </w14:textFill>
        </w:rPr>
        <w:t>第二章  零售点总体布局规划</w:t>
      </w:r>
    </w:p>
    <w:p w14:paraId="6E6274A3">
      <w:pPr>
        <w:keepNext w:val="0"/>
        <w:keepLines w:val="0"/>
        <w:pageBreakBefore w:val="0"/>
        <w:widowControl/>
        <w:kinsoku/>
        <w:wordWrap/>
        <w:overflowPunct/>
        <w:topLinePunct w:val="0"/>
        <w:autoSpaceDE/>
        <w:autoSpaceDN/>
        <w:bidi w:val="0"/>
        <w:adjustRightInd/>
        <w:snapToGrid/>
        <w:spacing w:line="575" w:lineRule="exact"/>
        <w:ind w:firstLine="632" w:firstLineChars="200"/>
        <w:jc w:val="left"/>
        <w:textAlignment w:val="auto"/>
        <w:rPr>
          <w:rFonts w:hint="eastAsia" w:ascii="仿宋" w:hAnsi="仿宋" w:eastAsia="仿宋" w:cs="仿宋"/>
          <w:color w:val="000000" w:themeColor="text1"/>
          <w:sz w:val="32"/>
          <w:szCs w:val="32"/>
          <w:highlight w:val="none"/>
          <w:lang w:eastAsia="zh-CN"/>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第</w:t>
      </w:r>
      <w:r>
        <w:rPr>
          <w:rFonts w:hint="eastAsia" w:ascii="楷体" w:hAnsi="楷体" w:eastAsia="楷体" w:cs="黑体"/>
          <w:bCs/>
          <w:color w:val="000000" w:themeColor="text1"/>
          <w:kern w:val="0"/>
          <w:sz w:val="32"/>
          <w:szCs w:val="32"/>
          <w:highlight w:val="none"/>
          <w:shd w:val="clear" w:color="auto" w:fill="FFFFFF"/>
          <w:lang w:eastAsia="zh-CN"/>
          <w14:textFill>
            <w14:solidFill>
              <w14:schemeClr w14:val="tx1"/>
            </w14:solidFill>
          </w14:textFill>
        </w:rPr>
        <w:t>六</w:t>
      </w: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条</w:t>
      </w:r>
      <w:r>
        <w:rPr>
          <w:rFonts w:hint="eastAsia" w:ascii="仿宋" w:hAnsi="仿宋" w:eastAsia="仿宋" w:cs="仿宋"/>
          <w:color w:val="000000" w:themeColor="text1"/>
          <w:sz w:val="32"/>
          <w:szCs w:val="32"/>
          <w:highlight w:val="none"/>
          <w14:textFill>
            <w14:solidFill>
              <w14:schemeClr w14:val="tx1"/>
            </w14:solidFill>
          </w14:textFill>
        </w:rPr>
        <w:t xml:space="preserve">  为了合理满足消费需求、防止无序竞争、落实控烟履约要求，由汝州市烟草专卖局综合考虑零售点存量、人口数量、交通状况、经济发展水平、消费能力等因素，</w:t>
      </w:r>
      <w:r>
        <w:rPr>
          <w:rFonts w:hint="eastAsia" w:ascii="仿宋" w:hAnsi="仿宋" w:eastAsia="仿宋" w:cs="仿宋"/>
          <w:color w:val="000000" w:themeColor="text1"/>
          <w:sz w:val="32"/>
          <w:szCs w:val="32"/>
          <w:highlight w:val="none"/>
          <w:lang w:eastAsia="zh-CN"/>
          <w14:textFill>
            <w14:solidFill>
              <w14:schemeClr w14:val="tx1"/>
            </w14:solidFill>
          </w14:textFill>
        </w:rPr>
        <w:t>以街道、乡镇和相对稳定的、独立的区域组合</w:t>
      </w:r>
      <w:r>
        <w:rPr>
          <w:rFonts w:hint="eastAsia" w:ascii="仿宋" w:hAnsi="仿宋" w:eastAsia="仿宋" w:cs="仿宋"/>
          <w:color w:val="000000" w:themeColor="text1"/>
          <w:sz w:val="32"/>
          <w:szCs w:val="32"/>
          <w:highlight w:val="none"/>
          <w14:textFill>
            <w14:solidFill>
              <w14:schemeClr w14:val="tx1"/>
            </w14:solidFill>
          </w14:textFill>
        </w:rPr>
        <w:t>将辖区划分若干市场单元，并确定市场单元零售点的指导数。</w:t>
      </w:r>
      <w:r>
        <w:rPr>
          <w:rFonts w:hint="eastAsia" w:ascii="仿宋" w:hAnsi="仿宋" w:eastAsia="仿宋" w:cs="仿宋"/>
          <w:color w:val="000000" w:themeColor="text1"/>
          <w:sz w:val="32"/>
          <w:szCs w:val="32"/>
          <w:highlight w:val="none"/>
          <w:lang w:eastAsia="zh-CN"/>
          <w14:textFill>
            <w14:solidFill>
              <w14:schemeClr w14:val="tx1"/>
            </w14:solidFill>
          </w14:textFill>
        </w:rPr>
        <w:t>辖区零售点总体布局规定实行“距离限制</w:t>
      </w:r>
      <w:r>
        <w:rPr>
          <w:rFonts w:hint="eastAsia" w:ascii="仿宋" w:hAnsi="仿宋" w:eastAsia="仿宋" w:cs="仿宋"/>
          <w:color w:val="000000" w:themeColor="text1"/>
          <w:sz w:val="32"/>
          <w:szCs w:val="32"/>
          <w:highlight w:val="none"/>
          <w:lang w:val="en-US" w:eastAsia="zh-CN"/>
          <w14:textFill>
            <w14:solidFill>
              <w14:schemeClr w14:val="tx1"/>
            </w14:solidFill>
          </w14:textFill>
        </w:rPr>
        <w:t>+总量限制</w:t>
      </w:r>
      <w:r>
        <w:rPr>
          <w:rFonts w:hint="eastAsia" w:ascii="仿宋" w:hAnsi="仿宋" w:eastAsia="仿宋" w:cs="仿宋"/>
          <w:color w:val="000000" w:themeColor="text1"/>
          <w:sz w:val="32"/>
          <w:szCs w:val="32"/>
          <w:highlight w:val="none"/>
          <w:lang w:eastAsia="zh-CN"/>
          <w14:textFill>
            <w14:solidFill>
              <w14:schemeClr w14:val="tx1"/>
            </w14:solidFill>
          </w14:textFill>
        </w:rPr>
        <w:t>”组合模式。</w:t>
      </w:r>
    </w:p>
    <w:p w14:paraId="231E8A9F">
      <w:pPr>
        <w:keepNext w:val="0"/>
        <w:keepLines w:val="0"/>
        <w:pageBreakBefore w:val="0"/>
        <w:widowControl/>
        <w:kinsoku/>
        <w:wordWrap/>
        <w:overflowPunct/>
        <w:topLinePunct w:val="0"/>
        <w:autoSpaceDE/>
        <w:autoSpaceDN/>
        <w:bidi w:val="0"/>
        <w:adjustRightInd/>
        <w:snapToGrid/>
        <w:spacing w:line="575" w:lineRule="exact"/>
        <w:ind w:firstLine="632" w:firstLineChars="200"/>
        <w:jc w:val="lef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第</w:t>
      </w:r>
      <w:r>
        <w:rPr>
          <w:rFonts w:hint="eastAsia" w:ascii="楷体" w:hAnsi="楷体" w:eastAsia="楷体" w:cs="黑体"/>
          <w:bCs/>
          <w:color w:val="000000" w:themeColor="text1"/>
          <w:kern w:val="0"/>
          <w:sz w:val="32"/>
          <w:szCs w:val="32"/>
          <w:highlight w:val="none"/>
          <w:shd w:val="clear" w:color="auto" w:fill="FFFFFF"/>
          <w:lang w:eastAsia="zh-CN"/>
          <w14:textFill>
            <w14:solidFill>
              <w14:schemeClr w14:val="tx1"/>
            </w14:solidFill>
          </w14:textFill>
        </w:rPr>
        <w:t>七</w:t>
      </w: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条</w:t>
      </w:r>
      <w:r>
        <w:rPr>
          <w:rFonts w:hint="eastAsia" w:ascii="楷体" w:hAnsi="楷体" w:eastAsia="楷体" w:cs="黑体"/>
          <w:bCs/>
          <w:color w:val="000000" w:themeColor="text1"/>
          <w:kern w:val="0"/>
          <w:sz w:val="32"/>
          <w:szCs w:val="32"/>
          <w:highlight w:val="none"/>
          <w:shd w:val="clear" w:color="auto" w:fill="FFFFFF"/>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14:textFill>
            <w14:solidFill>
              <w14:schemeClr w14:val="tx1"/>
            </w14:solidFill>
          </w14:textFill>
        </w:rPr>
        <w:t>为了合理满足消费需求、防止无序过度竞争、落实控烟履约要求，对汝州市辖区的市场单元和市场单元内的零售点指导数进行动态调整，以</w:t>
      </w:r>
      <w:r>
        <w:rPr>
          <w:rFonts w:hint="eastAsia" w:ascii="仿宋" w:hAnsi="仿宋" w:eastAsia="仿宋" w:cs="仿宋"/>
          <w:color w:val="000000" w:themeColor="text1"/>
          <w:sz w:val="32"/>
          <w:szCs w:val="32"/>
          <w:highlight w:val="none"/>
          <w:lang w:eastAsia="zh-CN"/>
          <w14:textFill>
            <w14:solidFill>
              <w14:schemeClr w14:val="tx1"/>
            </w14:solidFill>
          </w14:textFill>
        </w:rPr>
        <w:t>公众媒体平台</w:t>
      </w:r>
      <w:r>
        <w:rPr>
          <w:rFonts w:hint="eastAsia" w:ascii="仿宋" w:hAnsi="仿宋" w:eastAsia="仿宋" w:cs="仿宋"/>
          <w:color w:val="000000" w:themeColor="text1"/>
          <w:sz w:val="32"/>
          <w:szCs w:val="32"/>
          <w:highlight w:val="none"/>
          <w14:textFill>
            <w14:solidFill>
              <w14:schemeClr w14:val="tx1"/>
            </w14:solidFill>
          </w14:textFill>
        </w:rPr>
        <w:t>发布为准</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根据辖区内的烟草制品零售点数量、盈利水平、诚信等级等因素，科学设定市场单元指导数量。零售点数量设置以指导数为上限，达到上限的，按照““退一进一””原则，根据排队轮候顺序依法受理。本规定所称的零售点指导数是指各市场单元内烟草制品零售点数量的上限。</w:t>
      </w:r>
    </w:p>
    <w:p w14:paraId="315E00E3">
      <w:pPr>
        <w:keepNext w:val="0"/>
        <w:keepLines w:val="0"/>
        <w:pageBreakBefore w:val="0"/>
        <w:widowControl/>
        <w:kinsoku/>
        <w:wordWrap/>
        <w:overflowPunct/>
        <w:topLinePunct w:val="0"/>
        <w:autoSpaceDE/>
        <w:autoSpaceDN/>
        <w:bidi w:val="0"/>
        <w:adjustRightInd/>
        <w:snapToGrid/>
        <w:spacing w:line="575" w:lineRule="exact"/>
        <w:ind w:firstLine="632" w:firstLineChars="200"/>
        <w:jc w:val="left"/>
        <w:textAlignment w:val="auto"/>
        <w:rPr>
          <w:rFonts w:ascii="仿宋" w:hAnsi="仿宋" w:eastAsia="仿宋" w:cs="仿宋"/>
          <w:color w:val="000000" w:themeColor="text1"/>
          <w:sz w:val="32"/>
          <w:szCs w:val="32"/>
          <w:highlight w:val="none"/>
          <w:shd w:val="clear" w:color="auto" w:fill="FFFFFF"/>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lang w:eastAsia="zh-CN"/>
          <w14:textFill>
            <w14:solidFill>
              <w14:schemeClr w14:val="tx1"/>
            </w14:solidFill>
          </w14:textFill>
        </w:rPr>
        <w:t>第八条</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14:textFill>
            <w14:solidFill>
              <w14:schemeClr w14:val="tx1"/>
            </w14:solidFill>
          </w14:textFill>
        </w:rPr>
        <w:t>根据区域位置、消费结构、人口密度、环境差异等因素将</w:t>
      </w:r>
      <w:r>
        <w:rPr>
          <w:rFonts w:hint="eastAsia" w:ascii="仿宋" w:hAnsi="仿宋" w:eastAsia="仿宋" w:cs="仿宋"/>
          <w:color w:val="000000" w:themeColor="text1"/>
          <w:sz w:val="32"/>
          <w:szCs w:val="32"/>
          <w:highlight w:val="none"/>
          <w:lang w:eastAsia="zh-CN"/>
          <w14:textFill>
            <w14:solidFill>
              <w14:schemeClr w14:val="tx1"/>
            </w14:solidFill>
          </w14:textFill>
        </w:rPr>
        <w:t>汝州市</w:t>
      </w:r>
      <w:r>
        <w:rPr>
          <w:rFonts w:hint="eastAsia" w:ascii="仿宋" w:hAnsi="仿宋" w:eastAsia="仿宋" w:cs="仿宋"/>
          <w:color w:val="000000" w:themeColor="text1"/>
          <w:sz w:val="32"/>
          <w:szCs w:val="32"/>
          <w:highlight w:val="none"/>
          <w14:textFill>
            <w14:solidFill>
              <w14:schemeClr w14:val="tx1"/>
            </w14:solidFill>
          </w14:textFill>
        </w:rPr>
        <w:t>辖区划分为城区区域</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乡镇区域</w:t>
      </w:r>
      <w:r>
        <w:rPr>
          <w:rFonts w:hint="eastAsia" w:ascii="仿宋" w:hAnsi="仿宋" w:eastAsia="仿宋" w:cs="仿宋"/>
          <w:color w:val="000000" w:themeColor="text1"/>
          <w:sz w:val="32"/>
          <w:szCs w:val="32"/>
          <w:highlight w:val="none"/>
          <w:lang w:eastAsia="zh-CN"/>
          <w14:textFill>
            <w14:solidFill>
              <w14:schemeClr w14:val="tx1"/>
            </w14:solidFill>
          </w14:textFill>
        </w:rPr>
        <w:t>和</w:t>
      </w:r>
      <w:r>
        <w:rPr>
          <w:rFonts w:hint="eastAsia" w:ascii="仿宋" w:hAnsi="仿宋" w:eastAsia="仿宋" w:cs="仿宋"/>
          <w:color w:val="000000" w:themeColor="text1"/>
          <w:sz w:val="32"/>
          <w:szCs w:val="32"/>
          <w:highlight w:val="none"/>
          <w14:textFill>
            <w14:solidFill>
              <w14:schemeClr w14:val="tx1"/>
            </w14:solidFill>
          </w14:textFill>
        </w:rPr>
        <w:t>其他区域三类布局区域。</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本辖区内烟草制品零售点的总体布局规</w:t>
      </w:r>
      <w:r>
        <w:rPr>
          <w:rFonts w:hint="eastAsia" w:ascii="仿宋" w:hAnsi="仿宋" w:eastAsia="仿宋" w:cs="仿宋"/>
          <w:color w:val="000000" w:themeColor="text1"/>
          <w:sz w:val="32"/>
          <w:szCs w:val="32"/>
          <w:highlight w:val="none"/>
          <w:shd w:val="clear" w:color="auto" w:fill="FFFFFF"/>
          <w:lang w:eastAsia="zh-CN"/>
          <w14:textFill>
            <w14:solidFill>
              <w14:schemeClr w14:val="tx1"/>
            </w14:solidFill>
          </w14:textFill>
        </w:rPr>
        <w:t>定</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实行：“距离</w:t>
      </w:r>
      <w:r>
        <w:rPr>
          <w:rFonts w:hint="eastAsia" w:ascii="仿宋" w:hAnsi="仿宋" w:eastAsia="仿宋" w:cs="仿宋"/>
          <w:color w:val="000000" w:themeColor="text1"/>
          <w:sz w:val="32"/>
          <w:szCs w:val="32"/>
          <w:highlight w:val="none"/>
          <w:shd w:val="clear" w:color="auto" w:fill="FFFFFF"/>
          <w:lang w:eastAsia="zh-CN"/>
          <w14:textFill>
            <w14:solidFill>
              <w14:schemeClr w14:val="tx1"/>
            </w14:solidFill>
          </w14:textFill>
        </w:rPr>
        <w:t>限制</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+总量</w:t>
      </w:r>
      <w:r>
        <w:rPr>
          <w:rFonts w:hint="eastAsia" w:ascii="仿宋" w:hAnsi="仿宋" w:eastAsia="仿宋" w:cs="仿宋"/>
          <w:color w:val="000000" w:themeColor="text1"/>
          <w:sz w:val="32"/>
          <w:szCs w:val="32"/>
          <w:highlight w:val="none"/>
          <w:shd w:val="clear" w:color="auto" w:fill="FFFFFF"/>
          <w:lang w:eastAsia="zh-CN"/>
          <w14:textFill>
            <w14:solidFill>
              <w14:schemeClr w14:val="tx1"/>
            </w14:solidFill>
          </w14:textFill>
        </w:rPr>
        <w:t>管理</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”组合模式。</w:t>
      </w:r>
    </w:p>
    <w:p w14:paraId="1632C4BF">
      <w:pPr>
        <w:pStyle w:val="6"/>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5" w:lineRule="exact"/>
        <w:ind w:firstLine="632" w:firstLineChars="200"/>
        <w:textAlignment w:val="auto"/>
        <w:rPr>
          <w:rFonts w:ascii="仿宋" w:hAnsi="仿宋" w:eastAsia="仿宋" w:cs="仿宋"/>
          <w:color w:val="000000" w:themeColor="text1"/>
          <w:sz w:val="32"/>
          <w:szCs w:val="32"/>
          <w:highlight w:val="none"/>
          <w:shd w:val="clear" w:color="auto" w:fill="FFFFFF"/>
          <w14:textFill>
            <w14:solidFill>
              <w14:schemeClr w14:val="tx1"/>
            </w14:solidFill>
          </w14:textFill>
        </w:rPr>
      </w:pPr>
      <w:r>
        <w:rPr>
          <w:rFonts w:hint="eastAsia" w:ascii="楷体" w:hAnsi="楷体" w:eastAsia="楷体" w:cs="黑体"/>
          <w:bCs/>
          <w:color w:val="000000" w:themeColor="text1"/>
          <w:sz w:val="32"/>
          <w:szCs w:val="32"/>
          <w:highlight w:val="none"/>
          <w:shd w:val="clear" w:color="auto" w:fill="FFFFFF"/>
          <w14:textFill>
            <w14:solidFill>
              <w14:schemeClr w14:val="tx1"/>
            </w14:solidFill>
          </w14:textFill>
        </w:rPr>
        <w:t>第</w:t>
      </w:r>
      <w:r>
        <w:rPr>
          <w:rFonts w:hint="eastAsia" w:ascii="楷体" w:hAnsi="楷体" w:eastAsia="楷体" w:cs="黑体"/>
          <w:bCs/>
          <w:color w:val="000000" w:themeColor="text1"/>
          <w:sz w:val="32"/>
          <w:szCs w:val="32"/>
          <w:highlight w:val="none"/>
          <w:shd w:val="clear" w:color="auto" w:fill="FFFFFF"/>
          <w:lang w:eastAsia="zh-CN"/>
          <w14:textFill>
            <w14:solidFill>
              <w14:schemeClr w14:val="tx1"/>
            </w14:solidFill>
          </w14:textFill>
        </w:rPr>
        <w:t>九</w:t>
      </w:r>
      <w:r>
        <w:rPr>
          <w:rFonts w:hint="eastAsia" w:ascii="楷体" w:hAnsi="楷体" w:eastAsia="楷体" w:cs="黑体"/>
          <w:bCs/>
          <w:color w:val="000000" w:themeColor="text1"/>
          <w:sz w:val="32"/>
          <w:szCs w:val="32"/>
          <w:highlight w:val="none"/>
          <w:shd w:val="clear" w:color="auto" w:fill="FFFFFF"/>
          <w14:textFill>
            <w14:solidFill>
              <w14:schemeClr w14:val="tx1"/>
            </w14:solidFill>
          </w14:textFill>
        </w:rPr>
        <w:t>条</w:t>
      </w:r>
      <w:r>
        <w:rPr>
          <w:rFonts w:ascii="仿宋" w:hAnsi="仿宋" w:eastAsia="仿宋" w:cs="黑体"/>
          <w:bCs/>
          <w:color w:val="000000" w:themeColor="text1"/>
          <w:sz w:val="32"/>
          <w:szCs w:val="32"/>
          <w:highlight w:val="none"/>
          <w:shd w:val="clear" w:color="auto" w:fill="FFFFFF"/>
          <w14:textFill>
            <w14:solidFill>
              <w14:schemeClr w14:val="tx1"/>
            </w14:solidFill>
          </w14:textFill>
        </w:rPr>
        <w:t xml:space="preserve">  </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距离限制模式</w:t>
      </w:r>
    </w:p>
    <w:p w14:paraId="742C1A85">
      <w:pPr>
        <w:keepNext w:val="0"/>
        <w:keepLines w:val="0"/>
        <w:pageBreakBefore w:val="0"/>
        <w:widowControl/>
        <w:kinsoku/>
        <w:wordWrap/>
        <w:overflowPunct/>
        <w:topLinePunct w:val="0"/>
        <w:autoSpaceDE/>
        <w:autoSpaceDN/>
        <w:bidi w:val="0"/>
        <w:adjustRightInd/>
        <w:snapToGrid/>
        <w:spacing w:line="575" w:lineRule="exact"/>
        <w:ind w:firstLine="632" w:firstLineChars="200"/>
        <w:jc w:val="left"/>
        <w:textAlignment w:val="auto"/>
        <w:rPr>
          <w:rFonts w:hint="eastAsia"/>
          <w:color w:val="000000" w:themeColor="text1"/>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在市场单元数量调控基础上，市场单元新设零售点应同时满足距离控制标准，城区（</w:t>
      </w:r>
      <w:r>
        <w:rPr>
          <w:rFonts w:hint="eastAsia" w:ascii="仿宋" w:hAnsi="仿宋" w:eastAsia="仿宋" w:cs="仿宋"/>
          <w:color w:val="000000" w:themeColor="text1"/>
          <w:sz w:val="32"/>
          <w:szCs w:val="32"/>
          <w:highlight w:val="none"/>
          <w:lang w:val="en-US" w:eastAsia="zh-CN"/>
          <w14:textFill>
            <w14:solidFill>
              <w14:schemeClr w14:val="tx1"/>
            </w14:solidFill>
          </w14:textFill>
        </w:rPr>
        <w:t>各城区</w:t>
      </w:r>
      <w:r>
        <w:rPr>
          <w:rFonts w:hint="eastAsia" w:ascii="仿宋" w:hAnsi="仿宋" w:eastAsia="仿宋" w:cs="仿宋"/>
          <w:color w:val="000000" w:themeColor="text1"/>
          <w:sz w:val="32"/>
          <w:szCs w:val="32"/>
          <w:highlight w:val="none"/>
          <w:lang w:eastAsia="zh-CN"/>
          <w14:textFill>
            <w14:solidFill>
              <w14:schemeClr w14:val="tx1"/>
            </w14:solidFill>
          </w14:textFill>
        </w:rPr>
        <w:t>街道管辖区域</w:t>
      </w:r>
      <w:r>
        <w:rPr>
          <w:rFonts w:hint="eastAsia" w:ascii="仿宋" w:hAnsi="仿宋" w:eastAsia="仿宋" w:cs="仿宋"/>
          <w:color w:val="000000" w:themeColor="text1"/>
          <w:sz w:val="32"/>
          <w:szCs w:val="32"/>
          <w:highlight w:val="none"/>
          <w14:textFill>
            <w14:solidFill>
              <w14:schemeClr w14:val="tx1"/>
            </w14:solidFill>
          </w14:textFill>
        </w:rPr>
        <w:t>）</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乡镇（乡镇</w:t>
      </w:r>
      <w:r>
        <w:rPr>
          <w:rFonts w:hint="eastAsia" w:ascii="仿宋" w:hAnsi="仿宋" w:eastAsia="仿宋" w:cs="仿宋"/>
          <w:color w:val="000000" w:themeColor="text1"/>
          <w:sz w:val="32"/>
          <w:szCs w:val="32"/>
          <w:highlight w:val="none"/>
          <w:shd w:val="clear" w:color="auto" w:fill="FFFFFF"/>
          <w:lang w:eastAsia="zh-CN"/>
          <w14:textFill>
            <w14:solidFill>
              <w14:schemeClr w14:val="tx1"/>
            </w14:solidFill>
          </w14:textFill>
        </w:rPr>
        <w:t>政府</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所在地自然延伸商贸区域）两个零售点间距不低于</w:t>
      </w:r>
      <w:r>
        <w:rPr>
          <w:rFonts w:hint="eastAsia" w:ascii="仿宋" w:hAnsi="仿宋" w:eastAsia="仿宋" w:cs="仿宋"/>
          <w:color w:val="000000" w:themeColor="text1"/>
          <w:sz w:val="32"/>
          <w:szCs w:val="32"/>
          <w:highlight w:val="none"/>
          <w:shd w:val="clear" w:color="auto" w:fill="FFFFFF"/>
          <w:lang w:val="en-US" w:eastAsia="zh-CN"/>
          <w14:textFill>
            <w14:solidFill>
              <w14:schemeClr w14:val="tx1"/>
            </w14:solidFill>
          </w14:textFill>
        </w:rPr>
        <w:t>50</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米（不受距离限制及放宽情形的除外）。</w:t>
      </w:r>
    </w:p>
    <w:p w14:paraId="67117BCE">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lang w:val="en-US" w:eastAsia="zh-CN" w:bidi="ar-SA"/>
          <w14:textFill>
            <w14:solidFill>
              <w14:schemeClr w14:val="tx1"/>
            </w14:solidFill>
          </w14:textFill>
        </w:rPr>
        <w:t>第十条</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 xml:space="preserve">  总量限制模式</w:t>
      </w:r>
    </w:p>
    <w:p w14:paraId="422ABF9A">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（一）除城区（各城区街道管辖区域）、乡镇区域（乡镇</w:t>
      </w:r>
      <w:r>
        <w:rPr>
          <w:rFonts w:hint="eastAsia" w:ascii="仿宋" w:hAnsi="仿宋" w:eastAsia="仿宋" w:cs="仿宋"/>
          <w:color w:val="000000" w:themeColor="text1"/>
          <w:kern w:val="0"/>
          <w:sz w:val="32"/>
          <w:szCs w:val="32"/>
          <w:highlight w:val="none"/>
          <w:shd w:val="clear" w:color="auto" w:fill="FFFFFF"/>
          <w:lang w:eastAsia="zh-CN"/>
          <w14:textFill>
            <w14:solidFill>
              <w14:schemeClr w14:val="tx1"/>
            </w14:solidFill>
          </w14:textFill>
        </w:rPr>
        <w:t>政府</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所在地自然延伸商贸区域）以外的其他区域根据市场单元指导数量，按总量限制原则设置零售点。每个行政村不超过</w:t>
      </w: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6</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个，原已设置烟草制品零售点超过</w:t>
      </w: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6</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个的维持现状，总量不再增加</w:t>
      </w:r>
      <w:r>
        <w:rPr>
          <w:rFonts w:hint="eastAsia" w:ascii="仿宋" w:hAnsi="仿宋" w:eastAsia="仿宋" w:cs="仿宋"/>
          <w:color w:val="000000" w:themeColor="text1"/>
          <w:kern w:val="0"/>
          <w:sz w:val="32"/>
          <w:szCs w:val="32"/>
          <w:highlight w:val="none"/>
          <w:shd w:val="clear" w:color="auto" w:fill="FFFFFF"/>
          <w:lang w:eastAsia="zh-CN"/>
          <w14:textFill>
            <w14:solidFill>
              <w14:schemeClr w14:val="tx1"/>
            </w14:solidFill>
          </w14:textFill>
        </w:rPr>
        <w:t>，符合</w:t>
      </w: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第十一条第（八）项200平方米以上放宽情形的不受本条限制</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w:t>
      </w:r>
    </w:p>
    <w:p w14:paraId="5A6A86F7">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（二）主营业务与烟草制品零售业务没有直接或间接互补营销关系的经营场所，设置零售点不得超过本辖区持证商户总量的</w:t>
      </w: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1</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%，按照“退一进一”的原则办理。</w:t>
      </w:r>
    </w:p>
    <w:p w14:paraId="31A9166A">
      <w:pPr>
        <w:keepNext w:val="0"/>
        <w:keepLines w:val="0"/>
        <w:pageBreakBefore w:val="0"/>
        <w:kinsoku/>
        <w:wordWrap/>
        <w:overflowPunct/>
        <w:topLinePunct w:val="0"/>
        <w:autoSpaceDE/>
        <w:autoSpaceDN/>
        <w:bidi w:val="0"/>
        <w:adjustRightInd/>
        <w:snapToGrid/>
        <w:spacing w:line="575" w:lineRule="exact"/>
        <w:ind w:firstLine="632" w:firstLineChars="200"/>
        <w:jc w:val="center"/>
        <w:textAlignment w:val="auto"/>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pPr>
      <w:r>
        <w:rPr>
          <w:rFonts w:hint="eastAsia" w:ascii="黑体" w:hAnsi="黑体" w:eastAsia="黑体" w:cs="黑体"/>
          <w:color w:val="000000" w:themeColor="text1"/>
          <w:kern w:val="0"/>
          <w:sz w:val="32"/>
          <w:szCs w:val="32"/>
          <w:highlight w:val="none"/>
          <w:shd w:val="clear" w:color="auto" w:fill="FFFFFF"/>
          <w14:textFill>
            <w14:solidFill>
              <w14:schemeClr w14:val="tx1"/>
            </w14:solidFill>
          </w14:textFill>
        </w:rPr>
        <w:t>第三章  放宽情形</w:t>
      </w:r>
    </w:p>
    <w:p w14:paraId="6A5A1537">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lang w:val="en-US" w:eastAsia="zh-CN" w:bidi="ar-SA"/>
          <w14:textFill>
            <w14:solidFill>
              <w14:schemeClr w14:val="tx1"/>
            </w14:solidFill>
          </w14:textFill>
        </w:rPr>
        <w:t>第十一条</w:t>
      </w: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 xml:space="preserve"> 具有下列情形之一的，不受网格指导数和距离限制。但属于不予延续情形和不予设置情形除外。</w:t>
      </w:r>
    </w:p>
    <w:p w14:paraId="2FE70B1F">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（一）汽车站、火车站、高铁站内，可设置1个零售点。</w:t>
      </w:r>
    </w:p>
    <w:p w14:paraId="0482F90E">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（二）企业生活区域或实行封闭管理的场所可按每500人设立1个零售点；封闭式厂矿区域等内部场所，可按每5000平方米设立1个零售点。</w:t>
      </w:r>
    </w:p>
    <w:p w14:paraId="6875FC9A">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（三）达到3000人以上规模的高等院校（普通中专除外）内（同一校区）生活区域可设置1个零售点，每增加3000人可以增设1个零售点。</w:t>
      </w:r>
    </w:p>
    <w:p w14:paraId="3FE7F4AE">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（四）客房达到50间以上的宾馆酒店，可设置1个零售点。</w:t>
      </w:r>
    </w:p>
    <w:p w14:paraId="5A01A542">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（五）封闭式旅游景区、度假村以满足停留在设施内特定顾客消费的经营场所，高速公路服务区（休息区）单侧，按照一址一证的原则办理。</w:t>
      </w:r>
    </w:p>
    <w:p w14:paraId="48650A59">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（六）建筑面积在5000平方米（含）以上，以出租柜台（摊位）为主要经营形式的大型商场、购物中心，楼层超过三层的，可按区域楼层划分，每间隔一个楼层可设置一个零售点。</w:t>
      </w:r>
    </w:p>
    <w:p w14:paraId="6429A459">
      <w:pPr>
        <w:pStyle w:val="3"/>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b w:val="0"/>
          <w:bCs w:val="0"/>
          <w:color w:val="000000" w:themeColor="text1"/>
          <w:kern w:val="0"/>
          <w:sz w:val="32"/>
          <w:szCs w:val="32"/>
          <w:highlight w:val="none"/>
          <w:shd w:val="clear" w:color="auto" w:fill="FFFFFF"/>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七）因中小学、幼儿园新建、改造导致的先店后校、先店后门等情况，以及合理布局标准修订等客观原因造成中小学、幼儿园周边零售点不符合相关要求，许可证有效期届满前持证人提出变更申请到原发证机关辖区内其他地址经营的。</w:t>
      </w:r>
    </w:p>
    <w:p w14:paraId="4F633D79">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both"/>
        <w:textAlignment w:val="auto"/>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（八）实际经营面积在200平方米以上的超市、商场、便利店、烟草专业店，有固定的卷烟销售区（包含整条展示区和单包展示区），每天的营业时间在12个小时以上，申请新办烟草专卖零售许可证的。</w:t>
      </w:r>
    </w:p>
    <w:p w14:paraId="030CE6A0">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（九）具有完全民事行为能力的烈士家属（父母、配偶、子女）、因公牺牲军人家属（父母、配偶、子女）等重点优抚对象，首次申请新办烟草专卖零售许可证，且本人实际经营的。</w:t>
      </w:r>
    </w:p>
    <w:p w14:paraId="0EA3FD41">
      <w:pPr>
        <w:keepNext w:val="0"/>
        <w:keepLines w:val="0"/>
        <w:pageBreakBefore w:val="0"/>
        <w:numPr>
          <w:ilvl w:val="0"/>
          <w:numId w:val="0"/>
        </w:numPr>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第十</w:t>
      </w:r>
      <w:r>
        <w:rPr>
          <w:rFonts w:hint="eastAsia" w:ascii="楷体" w:hAnsi="楷体" w:eastAsia="楷体" w:cs="黑体"/>
          <w:bCs/>
          <w:color w:val="000000" w:themeColor="text1"/>
          <w:kern w:val="0"/>
          <w:sz w:val="32"/>
          <w:szCs w:val="32"/>
          <w:highlight w:val="none"/>
          <w:shd w:val="clear" w:color="auto" w:fill="FFFFFF"/>
          <w:lang w:val="en-US" w:eastAsia="zh-CN"/>
          <w14:textFill>
            <w14:solidFill>
              <w14:schemeClr w14:val="tx1"/>
            </w14:solidFill>
          </w14:textFill>
        </w:rPr>
        <w:t>二</w:t>
      </w: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条</w:t>
      </w:r>
      <w:r>
        <w:rPr>
          <w:rFonts w:hint="eastAsia" w:ascii="楷体" w:hAnsi="楷体" w:eastAsia="楷体" w:cs="黑体"/>
          <w:bCs/>
          <w:color w:val="000000" w:themeColor="text1"/>
          <w:kern w:val="0"/>
          <w:sz w:val="32"/>
          <w:szCs w:val="32"/>
          <w:highlight w:val="none"/>
          <w:shd w:val="clear" w:color="auto" w:fill="FFFFFF"/>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具有下列情形之一</w:t>
      </w:r>
      <w:r>
        <w:rPr>
          <w:rFonts w:hint="eastAsia" w:ascii="仿宋" w:hAnsi="仿宋" w:eastAsia="仿宋" w:cs="仿宋"/>
          <w:color w:val="000000" w:themeColor="text1"/>
          <w:sz w:val="32"/>
          <w:szCs w:val="32"/>
          <w:highlight w:val="none"/>
          <w:lang w:eastAsia="zh-CN"/>
          <w14:textFill>
            <w14:solidFill>
              <w14:schemeClr w14:val="tx1"/>
            </w14:solidFill>
          </w14:textFill>
        </w:rPr>
        <w:t>的</w:t>
      </w:r>
      <w:r>
        <w:rPr>
          <w:rFonts w:hint="eastAsia" w:ascii="仿宋" w:hAnsi="仿宋" w:eastAsia="仿宋" w:cs="仿宋"/>
          <w:color w:val="000000" w:themeColor="text1"/>
          <w:sz w:val="32"/>
          <w:szCs w:val="32"/>
          <w:highlight w:val="none"/>
          <w:lang w:val="en-US" w:eastAsia="zh-CN"/>
          <w14:textFill>
            <w14:solidFill>
              <w14:schemeClr w14:val="tx1"/>
            </w14:solidFill>
          </w14:textFill>
        </w:rPr>
        <w:t>，受网格指导数限制，不受距离限制，属于</w:t>
      </w:r>
      <w:r>
        <w:rPr>
          <w:rFonts w:hint="eastAsia" w:ascii="仿宋" w:hAnsi="仿宋" w:eastAsia="仿宋" w:cs="仿宋"/>
          <w:color w:val="000000" w:themeColor="text1"/>
          <w:sz w:val="32"/>
          <w:szCs w:val="32"/>
          <w:highlight w:val="none"/>
          <w14:textFill>
            <w14:solidFill>
              <w14:schemeClr w14:val="tx1"/>
            </w14:solidFill>
          </w14:textFill>
        </w:rPr>
        <w:t>不予延续情形和不予设置情形的除外</w:t>
      </w:r>
      <w:r>
        <w:rPr>
          <w:rFonts w:hint="eastAsia" w:ascii="仿宋" w:hAnsi="仿宋" w:eastAsia="仿宋" w:cs="仿宋"/>
          <w:color w:val="000000" w:themeColor="text1"/>
          <w:sz w:val="32"/>
          <w:szCs w:val="32"/>
          <w:highlight w:val="none"/>
          <w:lang w:eastAsia="zh-CN"/>
          <w14:textFill>
            <w14:solidFill>
              <w14:schemeClr w14:val="tx1"/>
            </w14:solidFill>
          </w14:textFill>
        </w:rPr>
        <w:t>。</w:t>
      </w:r>
    </w:p>
    <w:p w14:paraId="2A1336B6">
      <w:pPr>
        <w:keepNext w:val="0"/>
        <w:keepLines w:val="0"/>
        <w:pageBreakBefore w:val="0"/>
        <w:numPr>
          <w:ilvl w:val="0"/>
          <w:numId w:val="0"/>
        </w:numPr>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kern w:val="0"/>
          <w:sz w:val="32"/>
          <w:szCs w:val="32"/>
          <w:highlight w:val="none"/>
          <w:shd w:val="clear" w:color="auto" w:fill="FFFFFF"/>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bidi="ar-SA"/>
          <w14:textFill>
            <w14:solidFill>
              <w14:schemeClr w14:val="tx1"/>
            </w14:solidFill>
          </w14:textFill>
        </w:rPr>
        <w:t>（一）政府鼓励发展以直营方式开展经营的品牌连锁便利店（以政府对外公布正式文件为准，不含外资）申请烟草专卖零售许可证的，不受间距限制。</w:t>
      </w:r>
    </w:p>
    <w:p w14:paraId="67F50930">
      <w:pPr>
        <w:keepNext w:val="0"/>
        <w:keepLines w:val="0"/>
        <w:pageBreakBefore w:val="0"/>
        <w:numPr>
          <w:ilvl w:val="0"/>
          <w:numId w:val="0"/>
        </w:numPr>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bidi="ar-SA"/>
          <w14:textFill>
            <w14:solidFill>
              <w14:schemeClr w14:val="tx1"/>
            </w14:solidFill>
          </w14:textFill>
        </w:rPr>
        <w:t>（二）连续三年以内无涉烟违法记录，且未能在许可证有效期内向原发证机关提出延续申请的，在许可证注销之日起30个自然日内，原持证</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人需在原经营地址继续经营，重新申请烟草专卖零售许可证的，不受间距限制。</w:t>
      </w:r>
    </w:p>
    <w:p w14:paraId="15BDC2A8">
      <w:pPr>
        <w:keepNext w:val="0"/>
        <w:keepLines w:val="0"/>
        <w:pageBreakBefore w:val="0"/>
        <w:kinsoku/>
        <w:wordWrap/>
        <w:overflowPunct/>
        <w:topLinePunct w:val="0"/>
        <w:autoSpaceDE/>
        <w:autoSpaceDN/>
        <w:bidi w:val="0"/>
        <w:adjustRightInd/>
        <w:snapToGrid/>
        <w:spacing w:line="575" w:lineRule="exact"/>
        <w:ind w:firstLine="632" w:firstLineChars="200"/>
        <w:jc w:val="lef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（三）因道路规划、城市建设（以县级及县级以上发布文件为准）等客观原因造成无法在核定经营地址经营，持证人申请变更到原发证机关辖区内其他地址经营的，不受间距限制。</w:t>
      </w:r>
    </w:p>
    <w:p w14:paraId="5F50283E">
      <w:pPr>
        <w:keepNext w:val="0"/>
        <w:keepLines w:val="0"/>
        <w:pageBreakBefore w:val="0"/>
        <w:kinsoku/>
        <w:wordWrap/>
        <w:overflowPunct/>
        <w:topLinePunct w:val="0"/>
        <w:autoSpaceDE/>
        <w:autoSpaceDN/>
        <w:bidi w:val="0"/>
        <w:adjustRightInd/>
        <w:snapToGrid/>
        <w:spacing w:line="575" w:lineRule="exact"/>
        <w:ind w:firstLine="632" w:firstLineChars="200"/>
        <w:jc w:val="lef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第十</w:t>
      </w:r>
      <w:r>
        <w:rPr>
          <w:rFonts w:hint="eastAsia" w:ascii="楷体" w:hAnsi="楷体" w:eastAsia="楷体" w:cs="黑体"/>
          <w:bCs/>
          <w:color w:val="000000" w:themeColor="text1"/>
          <w:kern w:val="0"/>
          <w:sz w:val="32"/>
          <w:szCs w:val="32"/>
          <w:highlight w:val="none"/>
          <w:shd w:val="clear" w:color="auto" w:fill="FFFFFF"/>
          <w:lang w:val="en-US" w:eastAsia="zh-CN"/>
          <w14:textFill>
            <w14:solidFill>
              <w14:schemeClr w14:val="tx1"/>
            </w14:solidFill>
          </w14:textFill>
        </w:rPr>
        <w:t>三</w:t>
      </w: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条</w:t>
      </w:r>
      <w:r>
        <w:rPr>
          <w:rFonts w:hint="eastAsia" w:ascii="楷体" w:hAnsi="楷体" w:eastAsia="楷体" w:cs="黑体"/>
          <w:bCs/>
          <w:color w:val="000000" w:themeColor="text1"/>
          <w:kern w:val="0"/>
          <w:sz w:val="32"/>
          <w:szCs w:val="32"/>
          <w:highlight w:val="none"/>
          <w:shd w:val="clear" w:color="auto" w:fill="FFFFFF"/>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具有下列情形之一的，受网格指导数限制，</w:t>
      </w:r>
      <w:r>
        <w:rPr>
          <w:rFonts w:hint="eastAsia" w:ascii="仿宋" w:hAnsi="仿宋" w:eastAsia="仿宋" w:cs="仿宋"/>
          <w:color w:val="000000" w:themeColor="text1"/>
          <w:sz w:val="32"/>
          <w:szCs w:val="32"/>
          <w:highlight w:val="none"/>
          <w14:textFill>
            <w14:solidFill>
              <w14:schemeClr w14:val="tx1"/>
            </w14:solidFill>
          </w14:textFill>
        </w:rPr>
        <w:t>在距离上予以放宽</w:t>
      </w:r>
      <w:r>
        <w:rPr>
          <w:rFonts w:hint="eastAsia" w:ascii="仿宋" w:hAnsi="仿宋" w:eastAsia="仿宋" w:cs="仿宋"/>
          <w:color w:val="000000" w:themeColor="text1"/>
          <w:sz w:val="32"/>
          <w:szCs w:val="32"/>
          <w:highlight w:val="none"/>
          <w:lang w:val="en-US" w:eastAsia="zh-CN"/>
          <w14:textFill>
            <w14:solidFill>
              <w14:schemeClr w14:val="tx1"/>
            </w14:solidFill>
          </w14:textFill>
        </w:rPr>
        <w:t>，属于</w:t>
      </w:r>
      <w:r>
        <w:rPr>
          <w:rFonts w:hint="eastAsia" w:ascii="仿宋" w:hAnsi="仿宋" w:eastAsia="仿宋" w:cs="仿宋"/>
          <w:color w:val="000000" w:themeColor="text1"/>
          <w:sz w:val="32"/>
          <w:szCs w:val="32"/>
          <w:highlight w:val="none"/>
          <w14:textFill>
            <w14:solidFill>
              <w14:schemeClr w14:val="tx1"/>
            </w14:solidFill>
          </w14:textFill>
        </w:rPr>
        <w:t>不予延续情形和不予设置情形的除外</w:t>
      </w:r>
      <w:r>
        <w:rPr>
          <w:rFonts w:hint="eastAsia" w:ascii="仿宋" w:hAnsi="仿宋" w:eastAsia="仿宋" w:cs="仿宋"/>
          <w:color w:val="000000" w:themeColor="text1"/>
          <w:sz w:val="32"/>
          <w:szCs w:val="32"/>
          <w:highlight w:val="none"/>
          <w:lang w:eastAsia="zh-CN"/>
          <w14:textFill>
            <w14:solidFill>
              <w14:schemeClr w14:val="tx1"/>
            </w14:solidFill>
          </w14:textFill>
        </w:rPr>
        <w:t>。</w:t>
      </w:r>
    </w:p>
    <w:p w14:paraId="75F4551C">
      <w:pPr>
        <w:keepNext w:val="0"/>
        <w:keepLines w:val="0"/>
        <w:pageBreakBefore w:val="0"/>
        <w:kinsoku/>
        <w:wordWrap/>
        <w:overflowPunct/>
        <w:topLinePunct w:val="0"/>
        <w:autoSpaceDE/>
        <w:autoSpaceDN/>
        <w:bidi w:val="0"/>
        <w:adjustRightInd/>
        <w:snapToGrid/>
        <w:spacing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河南老兵驿站连锁超市有限公司门店申请烟草专卖零售许可证的，两个零售点间距不低于</w:t>
      </w: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25</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米。</w:t>
      </w:r>
    </w:p>
    <w:p w14:paraId="2E4E4C42">
      <w:pPr>
        <w:keepNext w:val="0"/>
        <w:keepLines w:val="0"/>
        <w:pageBreakBefore w:val="0"/>
        <w:kinsoku/>
        <w:wordWrap/>
        <w:overflowPunct/>
        <w:topLinePunct w:val="0"/>
        <w:autoSpaceDE/>
        <w:autoSpaceDN/>
        <w:bidi w:val="0"/>
        <w:adjustRightInd/>
        <w:snapToGrid/>
        <w:spacing w:line="575" w:lineRule="exact"/>
        <w:ind w:firstLine="632" w:firstLineChars="200"/>
        <w:jc w:val="left"/>
        <w:textAlignment w:val="auto"/>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（二）政府鼓励发展以加盟方式开展经营的品牌连锁便利店（以政府对外公布正式文件为准，不含外资）申请烟草专卖零售许可证的，</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两个零售点间距不低于</w:t>
      </w: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25</w:t>
      </w:r>
      <w:r>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t>米</w:t>
      </w:r>
      <w:r>
        <w:rPr>
          <w:rFonts w:hint="eastAsia" w:ascii="仿宋" w:hAnsi="仿宋" w:eastAsia="仿宋" w:cs="仿宋"/>
          <w:color w:val="000000" w:themeColor="text1"/>
          <w:kern w:val="0"/>
          <w:sz w:val="32"/>
          <w:szCs w:val="32"/>
          <w:highlight w:val="none"/>
          <w:shd w:val="clear" w:color="auto" w:fill="FFFFFF"/>
          <w:lang w:val="en-US" w:eastAsia="zh-CN"/>
          <w14:textFill>
            <w14:solidFill>
              <w14:schemeClr w14:val="tx1"/>
            </w14:solidFill>
          </w14:textFill>
        </w:rPr>
        <w:t>。</w:t>
      </w:r>
    </w:p>
    <w:p w14:paraId="185AC227">
      <w:pPr>
        <w:keepNext w:val="0"/>
        <w:keepLines w:val="0"/>
        <w:pageBreakBefore w:val="0"/>
        <w:kinsoku/>
        <w:wordWrap/>
        <w:overflowPunct/>
        <w:topLinePunct w:val="0"/>
        <w:autoSpaceDE/>
        <w:autoSpaceDN/>
        <w:bidi w:val="0"/>
        <w:adjustRightInd/>
        <w:snapToGrid/>
        <w:spacing w:line="575" w:lineRule="exact"/>
        <w:ind w:firstLine="632" w:firstLineChars="200"/>
        <w:jc w:val="lef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shd w:val="clear" w:color="auto" w:fill="FFFFFF"/>
          <w:lang w:val="en-US" w:eastAsia="zh-CN" w:bidi="ar-SA"/>
          <w14:textFill>
            <w14:solidFill>
              <w14:schemeClr w14:val="tx1"/>
            </w14:solidFill>
          </w14:textFill>
        </w:rPr>
        <w:t>（三）具有完全民事行为能力且本人能自主经营的残疾人，首次申领烟草专卖零售许可证的，两个零售点间距不低于25米。</w:t>
      </w:r>
      <w:r>
        <w:rPr>
          <w:rFonts w:hint="eastAsia" w:ascii="仿宋" w:hAnsi="仿宋" w:eastAsia="仿宋" w:cs="仿宋"/>
          <w:color w:val="000000" w:themeColor="text1"/>
          <w:sz w:val="32"/>
          <w:szCs w:val="32"/>
          <w:highlight w:val="none"/>
          <w:lang w:val="en-US" w:eastAsia="zh-CN"/>
          <w14:textFill>
            <w14:solidFill>
              <w14:schemeClr w14:val="tx1"/>
            </w14:solidFill>
          </w14:textFill>
        </w:rPr>
        <w:t>（实际在店经营者必须为本人，本人不再经营的，该零售点不再适用本规定）</w:t>
      </w:r>
    </w:p>
    <w:p w14:paraId="0B413F44">
      <w:pPr>
        <w:pStyle w:val="2"/>
        <w:keepNext w:val="0"/>
        <w:keepLines w:val="0"/>
        <w:pageBreakBefore w:val="0"/>
        <w:kinsoku/>
        <w:wordWrap/>
        <w:overflowPunct/>
        <w:topLinePunct w:val="0"/>
        <w:autoSpaceDE/>
        <w:autoSpaceDN/>
        <w:bidi w:val="0"/>
        <w:adjustRightInd/>
        <w:snapToGrid/>
        <w:spacing w:after="0" w:line="575" w:lineRule="exact"/>
        <w:ind w:firstLine="632" w:firstLineChars="200"/>
        <w:jc w:val="left"/>
        <w:textAlignment w:val="auto"/>
        <w:rPr>
          <w:rFonts w:ascii="仿宋" w:hAnsi="仿宋" w:eastAsia="仿宋" w:cs="仿宋"/>
          <w:color w:val="000000" w:themeColor="text1"/>
          <w:sz w:val="32"/>
          <w:szCs w:val="32"/>
          <w:highlight w:val="none"/>
          <w:shd w:val="clear" w:color="auto" w:fill="FFFFFF"/>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lang w:val="en-US" w:eastAsia="zh-CN" w:bidi="ar-SA"/>
          <w14:textFill>
            <w14:solidFill>
              <w14:schemeClr w14:val="tx1"/>
            </w14:solidFill>
          </w14:textFill>
        </w:rPr>
        <w:t xml:space="preserve">第十四条 </w:t>
      </w:r>
      <w:r>
        <w:rPr>
          <w:rFonts w:hint="eastAsia" w:ascii="仿宋" w:hAnsi="仿宋" w:eastAsia="仿宋" w:cs="仿宋"/>
          <w:color w:val="000000" w:themeColor="text1"/>
          <w:kern w:val="0"/>
          <w:sz w:val="32"/>
          <w:szCs w:val="32"/>
          <w:highlight w:val="none"/>
          <w:shd w:val="clear" w:color="auto" w:fill="FFFFFF"/>
          <w:lang w:eastAsia="zh-CN"/>
          <w14:textFill>
            <w14:solidFill>
              <w14:schemeClr w14:val="tx1"/>
            </w14:solidFill>
          </w14:textFill>
        </w:rPr>
        <w:t>只经营雪茄烟（不经营卷烟）的零售点，不受间距和数量的限制。只经营雪茄烟（不经营卷烟）的零售点经营范围增加卷烟的，不再享受放宽情形照顾，应当适用合理布局规划规定的指导数量和间距条件，提前申请变更许可证经营范围。</w:t>
      </w:r>
    </w:p>
    <w:p w14:paraId="1C6F5A6E">
      <w:pPr>
        <w:keepNext w:val="0"/>
        <w:keepLines w:val="0"/>
        <w:pageBreakBefore w:val="0"/>
        <w:kinsoku/>
        <w:wordWrap/>
        <w:overflowPunct/>
        <w:topLinePunct w:val="0"/>
        <w:autoSpaceDE/>
        <w:autoSpaceDN/>
        <w:bidi w:val="0"/>
        <w:adjustRightInd/>
        <w:snapToGrid/>
        <w:spacing w:line="575" w:lineRule="exact"/>
        <w:ind w:firstLine="632" w:firstLineChars="200"/>
        <w:jc w:val="center"/>
        <w:textAlignment w:val="auto"/>
        <w:rPr>
          <w:rFonts w:ascii="黑体" w:hAnsi="黑体" w:eastAsia="黑体" w:cs="黑体"/>
          <w:color w:val="000000" w:themeColor="text1"/>
          <w:kern w:val="0"/>
          <w:sz w:val="32"/>
          <w:szCs w:val="32"/>
          <w:highlight w:val="none"/>
          <w:shd w:val="clear" w:color="auto" w:fill="FFFFFF"/>
          <w14:textFill>
            <w14:solidFill>
              <w14:schemeClr w14:val="tx1"/>
            </w14:solidFill>
          </w14:textFill>
        </w:rPr>
      </w:pPr>
      <w:r>
        <w:rPr>
          <w:rFonts w:hint="eastAsia" w:ascii="黑体" w:hAnsi="黑体" w:eastAsia="黑体" w:cs="黑体"/>
          <w:color w:val="000000" w:themeColor="text1"/>
          <w:kern w:val="0"/>
          <w:sz w:val="32"/>
          <w:szCs w:val="32"/>
          <w:highlight w:val="none"/>
          <w:shd w:val="clear" w:color="auto" w:fill="FFFFFF"/>
          <w14:textFill>
            <w14:solidFill>
              <w14:schemeClr w14:val="tx1"/>
            </w14:solidFill>
          </w14:textFill>
        </w:rPr>
        <w:t>第四章</w:t>
      </w:r>
      <w:r>
        <w:rPr>
          <w:rFonts w:ascii="黑体" w:hAnsi="黑体" w:eastAsia="黑体" w:cs="黑体"/>
          <w:color w:val="000000" w:themeColor="text1"/>
          <w:kern w:val="0"/>
          <w:sz w:val="32"/>
          <w:szCs w:val="32"/>
          <w:highlight w:val="none"/>
          <w:shd w:val="clear" w:color="auto" w:fill="FFFFFF"/>
          <w14:textFill>
            <w14:solidFill>
              <w14:schemeClr w14:val="tx1"/>
            </w14:solidFill>
          </w14:textFill>
        </w:rPr>
        <w:t xml:space="preserve">  </w:t>
      </w:r>
      <w:r>
        <w:rPr>
          <w:rFonts w:hint="eastAsia" w:ascii="黑体" w:hAnsi="黑体" w:eastAsia="黑体" w:cs="黑体"/>
          <w:color w:val="000000" w:themeColor="text1"/>
          <w:kern w:val="0"/>
          <w:sz w:val="32"/>
          <w:szCs w:val="32"/>
          <w:highlight w:val="none"/>
          <w:shd w:val="clear" w:color="auto" w:fill="FFFFFF"/>
          <w14:textFill>
            <w14:solidFill>
              <w14:schemeClr w14:val="tx1"/>
            </w14:solidFill>
          </w14:textFill>
        </w:rPr>
        <w:t>不予延续情形</w:t>
      </w:r>
    </w:p>
    <w:p w14:paraId="0C2039AF">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第十</w:t>
      </w:r>
      <w:r>
        <w:rPr>
          <w:rFonts w:hint="eastAsia" w:ascii="楷体" w:hAnsi="楷体" w:eastAsia="楷体" w:cs="黑体"/>
          <w:bCs/>
          <w:color w:val="000000" w:themeColor="text1"/>
          <w:kern w:val="0"/>
          <w:sz w:val="32"/>
          <w:szCs w:val="32"/>
          <w:highlight w:val="none"/>
          <w:shd w:val="clear" w:color="auto" w:fill="FFFFFF"/>
          <w:lang w:eastAsia="zh-CN"/>
          <w14:textFill>
            <w14:solidFill>
              <w14:schemeClr w14:val="tx1"/>
            </w14:solidFill>
          </w14:textFill>
        </w:rPr>
        <w:t>五</w:t>
      </w:r>
      <w:r>
        <w:rPr>
          <w:rFonts w:hint="eastAsia" w:ascii="楷体" w:hAnsi="楷体" w:eastAsia="楷体" w:cs="黑体"/>
          <w:bCs/>
          <w:color w:val="000000" w:themeColor="text1"/>
          <w:kern w:val="0"/>
          <w:sz w:val="32"/>
          <w:szCs w:val="32"/>
          <w:highlight w:val="none"/>
          <w:shd w:val="clear" w:color="auto" w:fill="FFFFFF"/>
          <w14:textFill>
            <w14:solidFill>
              <w14:schemeClr w14:val="tx1"/>
            </w14:solidFill>
          </w14:textFill>
        </w:rPr>
        <w:t xml:space="preserve">条 </w:t>
      </w:r>
      <w:r>
        <w:rPr>
          <w:rFonts w:hint="eastAsia" w:ascii="仿宋" w:hAnsi="仿宋" w:eastAsia="仿宋" w:cs="仿宋"/>
          <w:color w:val="000000" w:themeColor="text1"/>
          <w:sz w:val="32"/>
          <w:szCs w:val="32"/>
          <w:highlight w:val="none"/>
          <w14:textFill>
            <w14:solidFill>
              <w14:schemeClr w14:val="tx1"/>
            </w14:solidFill>
          </w14:textFill>
        </w:rPr>
        <w:t>有下列情形之一的，烟草专卖零售许可证有效期届满后不予延续：</w:t>
      </w:r>
    </w:p>
    <w:p w14:paraId="36FC298B">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（一）经营场所基于安全因素不适宜经营卷烟的；</w:t>
      </w:r>
    </w:p>
    <w:p w14:paraId="51344142">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（二）中小学、幼儿园周围；</w:t>
      </w:r>
    </w:p>
    <w:p w14:paraId="5F618DC7">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（三）经营主体发生变化的；</w:t>
      </w:r>
    </w:p>
    <w:p w14:paraId="76DBC7D5">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（四）不再具备固定经营场所的；</w:t>
      </w:r>
    </w:p>
    <w:p w14:paraId="22C27732">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（五）经营场所不再与住所相独立的；</w:t>
      </w:r>
    </w:p>
    <w:p w14:paraId="3FD1CF22">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（六）经营场所条件发生变化导致其既不符合取得许可时也不符合申请延续时的烟草制品零售点合理布局规划要求的； </w:t>
      </w:r>
    </w:p>
    <w:p w14:paraId="5561112A">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（七）非法生产经营烟草专卖品数额在5万元以上或者违法所得数额在2万元以上或者非法经营卷烟20万支以上，未被追究刑事责任的；</w:t>
      </w:r>
    </w:p>
    <w:p w14:paraId="2103332F">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（八）因非法生产经营烟草专卖品被追究刑事责任的；</w:t>
      </w:r>
    </w:p>
    <w:p w14:paraId="718990FF">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（九）买卖、出租、出借或者以其他形式非法转让烟草专卖许可证的；</w:t>
      </w:r>
    </w:p>
    <w:p w14:paraId="643DA21B">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（十）被市场监管部门吊销营业执照的；</w:t>
      </w:r>
    </w:p>
    <w:p w14:paraId="57B4EFF9">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shd w:val="clear" w:color="auto" w:fill="FFFFFF"/>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（十一）其他严重违法行为的。</w:t>
      </w:r>
    </w:p>
    <w:p w14:paraId="166810A4">
      <w:pPr>
        <w:keepNext w:val="0"/>
        <w:keepLines w:val="0"/>
        <w:pageBreakBefore w:val="0"/>
        <w:kinsoku/>
        <w:wordWrap/>
        <w:overflowPunct/>
        <w:topLinePunct w:val="0"/>
        <w:autoSpaceDE/>
        <w:autoSpaceDN/>
        <w:bidi w:val="0"/>
        <w:adjustRightInd/>
        <w:snapToGrid/>
        <w:spacing w:line="575" w:lineRule="exact"/>
        <w:ind w:firstLine="632" w:firstLineChars="200"/>
        <w:jc w:val="center"/>
        <w:textAlignment w:val="auto"/>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shd w:val="clear" w:color="auto" w:fill="FFFFFF"/>
          <w14:textFill>
            <w14:solidFill>
              <w14:schemeClr w14:val="tx1"/>
            </w14:solidFill>
          </w14:textFill>
        </w:rPr>
        <w:t>第五章</w:t>
      </w:r>
      <w:r>
        <w:rPr>
          <w:rFonts w:ascii="黑体" w:hAnsi="黑体" w:eastAsia="黑体" w:cs="黑体"/>
          <w:color w:val="000000" w:themeColor="text1"/>
          <w:kern w:val="0"/>
          <w:sz w:val="32"/>
          <w:szCs w:val="32"/>
          <w:highlight w:val="none"/>
          <w:shd w:val="clear" w:color="auto" w:fill="FFFFFF"/>
          <w14:textFill>
            <w14:solidFill>
              <w14:schemeClr w14:val="tx1"/>
            </w14:solidFill>
          </w14:textFill>
        </w:rPr>
        <w:t xml:space="preserve">  </w:t>
      </w:r>
      <w:r>
        <w:rPr>
          <w:rFonts w:hint="eastAsia" w:ascii="黑体" w:hAnsi="黑体" w:eastAsia="黑体" w:cs="黑体"/>
          <w:color w:val="000000" w:themeColor="text1"/>
          <w:kern w:val="0"/>
          <w:sz w:val="32"/>
          <w:szCs w:val="32"/>
          <w:highlight w:val="none"/>
          <w:shd w:val="clear" w:color="auto" w:fill="FFFFFF"/>
          <w14:textFill>
            <w14:solidFill>
              <w14:schemeClr w14:val="tx1"/>
            </w14:solidFill>
          </w14:textFill>
        </w:rPr>
        <w:t>不予设置情形</w:t>
      </w:r>
    </w:p>
    <w:p w14:paraId="0681FD14">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第十</w:t>
      </w:r>
      <w:r>
        <w:rPr>
          <w:rFonts w:hint="eastAsia" w:ascii="楷体" w:hAnsi="楷体" w:eastAsia="楷体" w:cs="楷体"/>
          <w:color w:val="000000" w:themeColor="text1"/>
          <w:sz w:val="32"/>
          <w:szCs w:val="32"/>
          <w:highlight w:val="none"/>
          <w:lang w:eastAsia="zh-CN"/>
          <w14:textFill>
            <w14:solidFill>
              <w14:schemeClr w14:val="tx1"/>
            </w14:solidFill>
          </w14:textFill>
        </w:rPr>
        <w:t>六</w:t>
      </w:r>
      <w:r>
        <w:rPr>
          <w:rFonts w:hint="eastAsia" w:ascii="楷体" w:hAnsi="楷体" w:eastAsia="楷体" w:cs="楷体"/>
          <w:color w:val="000000" w:themeColor="text1"/>
          <w:sz w:val="32"/>
          <w:szCs w:val="32"/>
          <w:highlight w:val="none"/>
          <w14:textFill>
            <w14:solidFill>
              <w14:schemeClr w14:val="tx1"/>
            </w14:solidFill>
          </w14:textFill>
        </w:rPr>
        <w:t>条</w:t>
      </w:r>
      <w:r>
        <w:rPr>
          <w:rFonts w:hint="eastAsia" w:ascii="仿宋" w:hAnsi="仿宋" w:eastAsia="仿宋" w:cs="仿宋"/>
          <w:color w:val="000000" w:themeColor="text1"/>
          <w:sz w:val="32"/>
          <w:szCs w:val="32"/>
          <w:highlight w:val="none"/>
          <w14:textFill>
            <w14:solidFill>
              <w14:schemeClr w14:val="tx1"/>
            </w14:solidFill>
          </w14:textFill>
        </w:rPr>
        <w:t xml:space="preserve"> 有下列情形之一的，不予设置烟草制品零售点:</w:t>
      </w:r>
    </w:p>
    <w:p w14:paraId="6AB8D2A2">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（一）申请人无固定经营场所的；</w:t>
      </w:r>
    </w:p>
    <w:p w14:paraId="0D988C49">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（二）申请人不具备申请资格的；</w:t>
      </w:r>
    </w:p>
    <w:p w14:paraId="2071706B">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（三）申请人的经营场所与住所不相独立的；</w:t>
      </w:r>
    </w:p>
    <w:p w14:paraId="58CFBD73">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（四）取消从事烟草专卖业务资格不满三年的；</w:t>
      </w:r>
    </w:p>
    <w:p w14:paraId="7A5E8736">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（五）因申请人隐瞒有关情况或者提供虚假材料的，申请人在一年内再次申请烟草专卖许可证的；</w:t>
      </w:r>
    </w:p>
    <w:p w14:paraId="27E15576">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（六）因申请人以欺骗、贿赂等不正当手段取得的烟草专卖许可证被撤销后，申请人三年内再次提出申请的；</w:t>
      </w:r>
    </w:p>
    <w:p w14:paraId="483F7F2F">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（七）未领取烟草专卖零售许可证经营烟草专卖品业务，并且一年内被执法机关处罚两次以上，在三年内申请领取烟草专卖零售许可证的；</w:t>
      </w:r>
    </w:p>
    <w:p w14:paraId="6F2A59F0">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（八）未领取烟草专卖零售许可证经营烟草专卖品业务被追究刑事责任，在三年内申请领取烟草专卖零售许可证的；</w:t>
      </w:r>
    </w:p>
    <w:p w14:paraId="3DA16C48">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（九）经营场所基于安全因素不适宜经营卷烟，</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经消防等职能部门认定的安全隐患，生产、经营、储存有毒有害、易挥发类物质，不符合食品安全标准，容易造成卷烟污染的</w:t>
      </w:r>
      <w:r>
        <w:rPr>
          <w:rFonts w:hint="eastAsia" w:ascii="仿宋" w:hAnsi="仿宋" w:eastAsia="仿宋" w:cs="仿宋"/>
          <w:color w:val="000000" w:themeColor="text1"/>
          <w:sz w:val="32"/>
          <w:szCs w:val="32"/>
          <w:highlight w:val="none"/>
          <w14:textFill>
            <w14:solidFill>
              <w14:schemeClr w14:val="tx1"/>
            </w14:solidFill>
          </w14:textFill>
        </w:rPr>
        <w:t>；</w:t>
      </w:r>
    </w:p>
    <w:p w14:paraId="6A4C9094">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shd w:val="clear" w:color="auto" w:fill="FFFFFF"/>
          <w14:textFill>
            <w14:solidFill>
              <w14:schemeClr w14:val="tx1"/>
            </w14:solidFill>
          </w14:textFill>
        </w:rPr>
      </w:pP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（十）中小学校依法可通行的出入口</w:t>
      </w:r>
      <w:r>
        <w:rPr>
          <w:rFonts w:hint="eastAsia" w:ascii="仿宋" w:hAnsi="仿宋" w:eastAsia="仿宋" w:cs="仿宋"/>
          <w:color w:val="000000" w:themeColor="text1"/>
          <w:sz w:val="32"/>
          <w:szCs w:val="32"/>
          <w:highlight w:val="none"/>
          <w:shd w:val="clear" w:color="auto" w:fill="FFFFFF"/>
          <w:lang w:val="en-US" w:eastAsia="zh-CN"/>
          <w14:textFill>
            <w14:solidFill>
              <w14:schemeClr w14:val="tx1"/>
            </w14:solidFill>
          </w14:textFill>
        </w:rPr>
        <w:t>100</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米以内不予设置零售点；幼儿园依法可通行的出入口</w:t>
      </w:r>
      <w:r>
        <w:rPr>
          <w:rFonts w:hint="eastAsia" w:ascii="仿宋" w:hAnsi="仿宋" w:eastAsia="仿宋" w:cs="仿宋"/>
          <w:color w:val="000000" w:themeColor="text1"/>
          <w:sz w:val="32"/>
          <w:szCs w:val="32"/>
          <w:highlight w:val="none"/>
          <w:shd w:val="clear" w:color="auto" w:fill="FFFFFF"/>
          <w:lang w:val="en-US" w:eastAsia="zh-CN"/>
          <w14:textFill>
            <w14:solidFill>
              <w14:schemeClr w14:val="tx1"/>
            </w14:solidFill>
          </w14:textFill>
        </w:rPr>
        <w:t>50</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米以内不予设置零售点；可向学校、幼儿园内销售卷烟的窗口、栅栏等情形的；</w:t>
      </w:r>
    </w:p>
    <w:p w14:paraId="1052DF84">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（十一）</w:t>
      </w:r>
      <w:r>
        <w:rPr>
          <w:rFonts w:hint="eastAsia" w:ascii="仿宋" w:hAnsi="仿宋" w:eastAsia="仿宋" w:cs="仿宋"/>
          <w:color w:val="000000" w:themeColor="text1"/>
          <w:sz w:val="32"/>
          <w:szCs w:val="32"/>
          <w:highlight w:val="none"/>
          <w:lang w:eastAsia="zh-CN"/>
          <w14:textFill>
            <w14:solidFill>
              <w14:schemeClr w14:val="tx1"/>
            </w14:solidFill>
          </w14:textFill>
        </w:rPr>
        <w:t>同</w:t>
      </w:r>
      <w:r>
        <w:rPr>
          <w:rFonts w:hint="eastAsia" w:ascii="仿宋" w:hAnsi="仿宋" w:eastAsia="仿宋" w:cs="仿宋"/>
          <w:color w:val="000000" w:themeColor="text1"/>
          <w:sz w:val="32"/>
          <w:szCs w:val="32"/>
          <w:highlight w:val="none"/>
          <w14:textFill>
            <w14:solidFill>
              <w14:schemeClr w14:val="tx1"/>
            </w14:solidFill>
          </w14:textFill>
        </w:rPr>
        <w:t>一经营场所已经办理了烟草专卖零售许可证的；</w:t>
      </w:r>
    </w:p>
    <w:p w14:paraId="5DCD2B4C">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（十二）外商投资的商业企业或者个体工商户不得从事烟草专卖品批发或者零售业务，以特许、吸纳加盟店及其他再投资等形式变相从事烟草专卖品经营业务的；</w:t>
      </w:r>
    </w:p>
    <w:p w14:paraId="49A29C54">
      <w:pPr>
        <w:pStyle w:val="3"/>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（十三）公民、法人或者其他组织利用自动售货机或者其他自动售货形式，销售或者变相销售烟草制品的；</w:t>
      </w:r>
    </w:p>
    <w:p w14:paraId="4DEED665">
      <w:pPr>
        <w:pStyle w:val="3"/>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（十四）除了取得烟草专卖生产企业许可证或者烟草专卖批发企业许可证的企业依法销售烟草专卖品外，任何公民、法人或者其他组织通过信息网络销售烟草专卖品的；</w:t>
      </w:r>
    </w:p>
    <w:p w14:paraId="14D60DBD">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（十五）申请人为无民事行为能力人或者限制行为能力人的；</w:t>
      </w:r>
    </w:p>
    <w:p w14:paraId="199205E0">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（十六）从事容易诱导未成年人关注、购买、吸食烟草制品等经营活动，以及向未成年人提供服务的场所（如青少年宫等）；</w:t>
      </w:r>
    </w:p>
    <w:p w14:paraId="0662D18D">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（十七）政府、行业规定禁止或者不宜经营烟草制品的区域，如国家机关、党政机关和医疗机构等内部的；</w:t>
      </w:r>
    </w:p>
    <w:p w14:paraId="6CB0A3FA">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shd w:val="clear" w:color="auto" w:fill="FFFFFF"/>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（十八）相关法律法规、规章和烟草专卖行政主管部门及政府行政规范性文件规定的其他情形。</w:t>
      </w:r>
    </w:p>
    <w:p w14:paraId="2D229DEB">
      <w:pPr>
        <w:keepNext w:val="0"/>
        <w:keepLines w:val="0"/>
        <w:pageBreakBefore w:val="0"/>
        <w:kinsoku/>
        <w:wordWrap/>
        <w:overflowPunct/>
        <w:topLinePunct w:val="0"/>
        <w:autoSpaceDE/>
        <w:autoSpaceDN/>
        <w:bidi w:val="0"/>
        <w:adjustRightInd/>
        <w:snapToGrid/>
        <w:spacing w:line="575" w:lineRule="exact"/>
        <w:ind w:firstLine="632" w:firstLineChars="200"/>
        <w:jc w:val="center"/>
        <w:textAlignment w:val="auto"/>
        <w:rPr>
          <w:rFonts w:ascii="黑体" w:hAnsi="黑体" w:eastAsia="黑体" w:cs="黑体"/>
          <w:color w:val="000000" w:themeColor="text1"/>
          <w:kern w:val="0"/>
          <w:sz w:val="32"/>
          <w:szCs w:val="32"/>
          <w:highlight w:val="none"/>
          <w:shd w:val="clear" w:color="auto" w:fill="FFFFFF"/>
          <w14:textFill>
            <w14:solidFill>
              <w14:schemeClr w14:val="tx1"/>
            </w14:solidFill>
          </w14:textFill>
        </w:rPr>
      </w:pPr>
      <w:r>
        <w:rPr>
          <w:rFonts w:hint="eastAsia" w:ascii="黑体" w:hAnsi="黑体" w:eastAsia="黑体" w:cs="黑体"/>
          <w:color w:val="000000" w:themeColor="text1"/>
          <w:kern w:val="0"/>
          <w:sz w:val="32"/>
          <w:szCs w:val="32"/>
          <w:highlight w:val="none"/>
          <w:shd w:val="clear" w:color="auto" w:fill="FFFFFF"/>
          <w14:textFill>
            <w14:solidFill>
              <w14:schemeClr w14:val="tx1"/>
            </w14:solidFill>
          </w14:textFill>
        </w:rPr>
        <w:t>第六章  附  则</w:t>
      </w:r>
    </w:p>
    <w:p w14:paraId="175C5F4A">
      <w:pPr>
        <w:keepNext w:val="0"/>
        <w:keepLines w:val="0"/>
        <w:pageBreakBefore w:val="0"/>
        <w:kinsoku/>
        <w:wordWrap/>
        <w:overflowPunct/>
        <w:topLinePunct w:val="0"/>
        <w:autoSpaceDE/>
        <w:autoSpaceDN/>
        <w:bidi w:val="0"/>
        <w:adjustRightInd/>
        <w:snapToGrid/>
        <w:spacing w:line="575" w:lineRule="exact"/>
        <w:ind w:firstLine="631"/>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第十</w:t>
      </w:r>
      <w:r>
        <w:rPr>
          <w:rFonts w:hint="eastAsia" w:ascii="楷体" w:hAnsi="楷体" w:eastAsia="楷体" w:cs="楷体"/>
          <w:color w:val="000000" w:themeColor="text1"/>
          <w:sz w:val="32"/>
          <w:szCs w:val="32"/>
          <w:highlight w:val="none"/>
          <w:lang w:eastAsia="zh-CN"/>
          <w14:textFill>
            <w14:solidFill>
              <w14:schemeClr w14:val="tx1"/>
            </w14:solidFill>
          </w14:textFill>
        </w:rPr>
        <w:t>七</w:t>
      </w:r>
      <w:r>
        <w:rPr>
          <w:rFonts w:hint="eastAsia" w:ascii="楷体" w:hAnsi="楷体" w:eastAsia="楷体" w:cs="楷体"/>
          <w:color w:val="000000" w:themeColor="text1"/>
          <w:sz w:val="32"/>
          <w:szCs w:val="32"/>
          <w:highlight w:val="none"/>
          <w14:textFill>
            <w14:solidFill>
              <w14:schemeClr w14:val="tx1"/>
            </w14:solidFill>
          </w14:textFill>
        </w:rPr>
        <w:t>条</w:t>
      </w:r>
      <w:r>
        <w:rPr>
          <w:rFonts w:hint="eastAsia" w:ascii="仿宋" w:hAnsi="仿宋" w:eastAsia="仿宋" w:cs="仿宋"/>
          <w:color w:val="000000" w:themeColor="text1"/>
          <w:sz w:val="32"/>
          <w:szCs w:val="32"/>
          <w:highlight w:val="none"/>
          <w14:textFill>
            <w14:solidFill>
              <w14:schemeClr w14:val="tx1"/>
            </w14:solidFill>
          </w14:textFill>
        </w:rPr>
        <w:t xml:space="preserve"> 本规定所称“经营场所”是指与住所相独立的固定经营场所。</w:t>
      </w:r>
    </w:p>
    <w:p w14:paraId="567DD08B">
      <w:pPr>
        <w:keepNext w:val="0"/>
        <w:keepLines w:val="0"/>
        <w:pageBreakBefore w:val="0"/>
        <w:kinsoku/>
        <w:wordWrap/>
        <w:overflowPunct/>
        <w:topLinePunct w:val="0"/>
        <w:autoSpaceDE/>
        <w:autoSpaceDN/>
        <w:bidi w:val="0"/>
        <w:adjustRightInd/>
        <w:snapToGrid/>
        <w:spacing w:line="575" w:lineRule="exact"/>
        <w:ind w:firstLine="631"/>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与住所相独立”：指经营场所与住所等生活区域相独立，可以在物理上进行区分，可对消费者全开放（店面处于完全开放状态，消费者和行政监管部门不受限进出，但排除住所与经营场所混用或住所与经营场所相连接的情况）。</w:t>
      </w:r>
    </w:p>
    <w:p w14:paraId="3B0C624E">
      <w:pPr>
        <w:keepNext w:val="0"/>
        <w:keepLines w:val="0"/>
        <w:pageBreakBefore w:val="0"/>
        <w:kinsoku/>
        <w:wordWrap/>
        <w:overflowPunct/>
        <w:topLinePunct w:val="0"/>
        <w:autoSpaceDE/>
        <w:autoSpaceDN/>
        <w:bidi w:val="0"/>
        <w:adjustRightInd/>
        <w:snapToGrid/>
        <w:spacing w:line="575" w:lineRule="exact"/>
        <w:ind w:firstLine="631"/>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固定”：指经营场所有固定的地址，使用砖、木、钢等结构材料筑成的，具有长期性、固定性设计功能的，依法取得使用权、具有合法的产权权属（如房屋权属证明、房屋租赁合同等相关材料证明），使用功能及法定用途，不属于违法建设、危险建筑、被征收房屋等依法不能用作经营场所的房屋（使用简易活动房、电话亭、爱心亭、流动摊点（车、棚）等流动场所经营的（持有市政或其他政府部门出具的合法手续的除外）不能作为固定经营场所）。</w:t>
      </w:r>
    </w:p>
    <w:p w14:paraId="38D218E5">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第十</w:t>
      </w:r>
      <w:r>
        <w:rPr>
          <w:rFonts w:hint="eastAsia" w:ascii="楷体" w:hAnsi="楷体" w:eastAsia="楷体" w:cs="楷体"/>
          <w:color w:val="000000" w:themeColor="text1"/>
          <w:sz w:val="32"/>
          <w:szCs w:val="32"/>
          <w:highlight w:val="none"/>
          <w:lang w:eastAsia="zh-CN"/>
          <w14:textFill>
            <w14:solidFill>
              <w14:schemeClr w14:val="tx1"/>
            </w14:solidFill>
          </w14:textFill>
        </w:rPr>
        <w:t>八</w:t>
      </w:r>
      <w:r>
        <w:rPr>
          <w:rFonts w:hint="eastAsia" w:ascii="楷体" w:hAnsi="楷体" w:eastAsia="楷体" w:cs="楷体"/>
          <w:color w:val="000000" w:themeColor="text1"/>
          <w:sz w:val="32"/>
          <w:szCs w:val="32"/>
          <w:highlight w:val="none"/>
          <w14:textFill>
            <w14:solidFill>
              <w14:schemeClr w14:val="tx1"/>
            </w14:solidFill>
          </w14:textFill>
        </w:rPr>
        <w:t xml:space="preserve">条 </w:t>
      </w:r>
      <w:r>
        <w:rPr>
          <w:rFonts w:hint="eastAsia" w:ascii="仿宋" w:hAnsi="仿宋" w:eastAsia="仿宋" w:cs="仿宋"/>
          <w:color w:val="000000" w:themeColor="text1"/>
          <w:sz w:val="32"/>
          <w:szCs w:val="32"/>
          <w:highlight w:val="none"/>
          <w14:textFill>
            <w14:solidFill>
              <w14:schemeClr w14:val="tx1"/>
            </w14:solidFill>
          </w14:textFill>
        </w:rPr>
        <w:t>本规</w:t>
      </w:r>
      <w:r>
        <w:rPr>
          <w:rFonts w:hint="eastAsia" w:ascii="仿宋" w:hAnsi="仿宋" w:eastAsia="仿宋" w:cs="仿宋"/>
          <w:color w:val="000000" w:themeColor="text1"/>
          <w:sz w:val="32"/>
          <w:szCs w:val="32"/>
          <w:highlight w:val="none"/>
          <w:lang w:eastAsia="zh-CN"/>
          <w14:textFill>
            <w14:solidFill>
              <w14:schemeClr w14:val="tx1"/>
            </w14:solidFill>
          </w14:textFill>
        </w:rPr>
        <w:t>定</w:t>
      </w:r>
      <w:r>
        <w:rPr>
          <w:rFonts w:hint="eastAsia" w:ascii="仿宋" w:hAnsi="仿宋" w:eastAsia="仿宋" w:cs="仿宋"/>
          <w:color w:val="000000" w:themeColor="text1"/>
          <w:sz w:val="32"/>
          <w:szCs w:val="32"/>
          <w:highlight w:val="none"/>
          <w14:textFill>
            <w14:solidFill>
              <w14:schemeClr w14:val="tx1"/>
            </w14:solidFill>
          </w14:textFill>
        </w:rPr>
        <w:t>所称“距离”是指拟从事烟草制品零售业务经营场所与参照零售点或中小学校、幼儿园之间的步行最短距离</w:t>
      </w:r>
      <w:r>
        <w:rPr>
          <w:rFonts w:hint="eastAsia" w:ascii="仿宋" w:hAnsi="仿宋" w:eastAsia="仿宋" w:cs="仿宋"/>
          <w:color w:val="000000" w:themeColor="text1"/>
          <w:sz w:val="32"/>
          <w:szCs w:val="32"/>
          <w:highlight w:val="none"/>
          <w:shd w:val="clear" w:color="auto" w:fill="FFFFFF"/>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（距离测量时，以依法可通行的最短距离为标准，按照两个参照点最近一侧的经营场所出入</w:t>
      </w:r>
      <w:r>
        <w:rPr>
          <w:rFonts w:hint="eastAsia" w:ascii="仿宋" w:hAnsi="仿宋" w:eastAsia="仿宋" w:cs="仿宋"/>
          <w:color w:val="000000" w:themeColor="text1"/>
          <w:sz w:val="32"/>
          <w:szCs w:val="32"/>
          <w:highlight w:val="none"/>
          <w:lang w:eastAsia="zh-CN"/>
          <w14:textFill>
            <w14:solidFill>
              <w14:schemeClr w14:val="tx1"/>
            </w14:solidFill>
          </w14:textFill>
        </w:rPr>
        <w:t>口</w:t>
      </w:r>
      <w:r>
        <w:rPr>
          <w:rFonts w:hint="eastAsia" w:ascii="仿宋" w:hAnsi="仿宋" w:eastAsia="仿宋" w:cs="仿宋"/>
          <w:color w:val="000000" w:themeColor="text1"/>
          <w:sz w:val="32"/>
          <w:szCs w:val="32"/>
          <w:highlight w:val="none"/>
          <w14:textFill>
            <w14:solidFill>
              <w14:schemeClr w14:val="tx1"/>
            </w14:solidFill>
          </w14:textFill>
        </w:rPr>
        <w:t>进行测量，不得穿越不适合行人通行或穿越的固定隔离物，如道路上的固定花圃（盆）、立柱或其它固定隔离物，政府部门设置的隔离护栏、护墙、花坛、禁止性道路标线等行人不得或无法逾越的市政设施。其他个人或单位擅自设置的隔离物，如停车场线（围栏）、水泥墩柱、锁链、挡板、车辆、垃圾桶、废弃物和其它可移动物体、物品，视为无隔离物。</w:t>
      </w:r>
    </w:p>
    <w:p w14:paraId="4CDA48F2">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申请人申请办理许可证的经营场所有两个及两个以上出（入）口的，各出（入）口应当同时达到规定的距离标准。</w:t>
      </w:r>
    </w:p>
    <w:p w14:paraId="4E6BD89D">
      <w:pPr>
        <w:keepNext w:val="0"/>
        <w:keepLines w:val="0"/>
        <w:pageBreakBefore w:val="0"/>
        <w:kinsoku/>
        <w:wordWrap/>
        <w:overflowPunct/>
        <w:topLinePunct w:val="0"/>
        <w:autoSpaceDE/>
        <w:autoSpaceDN/>
        <w:bidi w:val="0"/>
        <w:adjustRightInd/>
        <w:snapToGrid/>
        <w:spacing w:line="575" w:lineRule="exac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    新办申请在实地核查零售点最近间距时，不受自本规定起残疾人、烈属、“老兵驿站”连锁超市、政府鼓励发展的品牌连锁便利店等已享受间距照顾的持证商户限制。</w:t>
      </w:r>
    </w:p>
    <w:p w14:paraId="3A1BE154">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楷体" w:hAnsi="楷体" w:eastAsia="楷体" w:cs="楷体"/>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lang w:val="en-US" w:eastAsia="zh-CN"/>
          <w14:textFill>
            <w14:solidFill>
              <w14:schemeClr w14:val="tx1"/>
            </w14:solidFill>
          </w14:textFill>
        </w:rPr>
        <w:t xml:space="preserve">第十九条 </w:t>
      </w:r>
      <w:r>
        <w:rPr>
          <w:rFonts w:hint="eastAsia" w:ascii="仿宋" w:hAnsi="仿宋" w:eastAsia="仿宋" w:cs="仿宋"/>
          <w:color w:val="000000" w:themeColor="text1"/>
          <w:sz w:val="32"/>
          <w:szCs w:val="32"/>
          <w:highlight w:val="none"/>
          <w:lang w:val="en-US" w:eastAsia="zh-CN"/>
          <w14:textFill>
            <w14:solidFill>
              <w14:schemeClr w14:val="tx1"/>
            </w14:solidFill>
          </w14:textFill>
        </w:rPr>
        <w:t>本规定中“与住所相独立”是指经营场所与生活区域相独立，可对消费者全开放（店面处于完全开放状态，消费者和行政监管部门不受限进出）。</w:t>
      </w:r>
    </w:p>
    <w:p w14:paraId="0F71F7A0">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第</w:t>
      </w:r>
      <w:r>
        <w:rPr>
          <w:rFonts w:hint="eastAsia" w:ascii="楷体" w:hAnsi="楷体" w:eastAsia="楷体" w:cs="楷体"/>
          <w:color w:val="000000" w:themeColor="text1"/>
          <w:sz w:val="32"/>
          <w:szCs w:val="32"/>
          <w:highlight w:val="none"/>
          <w:lang w:val="en-US" w:eastAsia="zh-CN"/>
          <w14:textFill>
            <w14:solidFill>
              <w14:schemeClr w14:val="tx1"/>
            </w14:solidFill>
          </w14:textFill>
        </w:rPr>
        <w:t>二十</w:t>
      </w:r>
      <w:r>
        <w:rPr>
          <w:rFonts w:hint="eastAsia" w:ascii="楷体" w:hAnsi="楷体" w:eastAsia="楷体" w:cs="楷体"/>
          <w:color w:val="000000" w:themeColor="text1"/>
          <w:sz w:val="32"/>
          <w:szCs w:val="32"/>
          <w:highlight w:val="none"/>
          <w14:textFill>
            <w14:solidFill>
              <w14:schemeClr w14:val="tx1"/>
            </w14:solidFill>
          </w14:textFill>
        </w:rPr>
        <w:t>条</w:t>
      </w:r>
      <w:r>
        <w:rPr>
          <w:rFonts w:hint="eastAsia" w:ascii="楷体" w:hAnsi="楷体" w:eastAsia="楷体" w:cs="楷体"/>
          <w:color w:val="000000" w:themeColor="text1"/>
          <w:sz w:val="32"/>
          <w:szCs w:val="32"/>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本规定所称“实际经营面积”：是指向不特定消费者开放，用于商品陈列、销售、收银服务，消费者可自由出入选购商品的经营区域套内净使用面积；仓库、办公间、休息室、阁楼及夹层、公共楼道、私搭违建区域一律不计入面积；权属证明载明商用区域以权证面积为参考；无产权证或权证与现场不符的，以两名专卖执法人员现场实测净面积为准，租赁合同面积仅作辅助佐证；大型商超经规划审批的二层开放式卖场区域可计入面积，普通门店二层、自建无审批夹层全部扣除。申请人对面积认定有异议可申请二次复测，复测结果为最终结论。</w:t>
      </w:r>
    </w:p>
    <w:p w14:paraId="60613BD8">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第</w:t>
      </w:r>
      <w:r>
        <w:rPr>
          <w:rFonts w:hint="eastAsia" w:ascii="楷体" w:hAnsi="楷体" w:eastAsia="楷体" w:cs="楷体"/>
          <w:color w:val="000000" w:themeColor="text1"/>
          <w:sz w:val="32"/>
          <w:szCs w:val="32"/>
          <w:highlight w:val="none"/>
          <w:lang w:eastAsia="zh-CN"/>
          <w14:textFill>
            <w14:solidFill>
              <w14:schemeClr w14:val="tx1"/>
            </w14:solidFill>
          </w14:textFill>
        </w:rPr>
        <w:t>二十</w:t>
      </w:r>
      <w:r>
        <w:rPr>
          <w:rFonts w:hint="eastAsia" w:ascii="楷体" w:hAnsi="楷体" w:eastAsia="楷体" w:cs="楷体"/>
          <w:color w:val="000000" w:themeColor="text1"/>
          <w:sz w:val="32"/>
          <w:szCs w:val="32"/>
          <w:highlight w:val="none"/>
          <w:lang w:val="en-US" w:eastAsia="zh-CN"/>
          <w14:textFill>
            <w14:solidFill>
              <w14:schemeClr w14:val="tx1"/>
            </w14:solidFill>
          </w14:textFill>
        </w:rPr>
        <w:t>一</w:t>
      </w:r>
      <w:r>
        <w:rPr>
          <w:rFonts w:hint="eastAsia" w:ascii="楷体" w:hAnsi="楷体" w:eastAsia="楷体" w:cs="楷体"/>
          <w:color w:val="000000" w:themeColor="text1"/>
          <w:sz w:val="32"/>
          <w:szCs w:val="32"/>
          <w:highlight w:val="none"/>
          <w14:textFill>
            <w14:solidFill>
              <w14:schemeClr w14:val="tx1"/>
            </w14:solidFill>
          </w14:textFill>
        </w:rPr>
        <w:t xml:space="preserve">条 </w:t>
      </w:r>
      <w:r>
        <w:rPr>
          <w:rFonts w:hint="eastAsia" w:ascii="仿宋" w:hAnsi="仿宋" w:eastAsia="仿宋" w:cs="仿宋"/>
          <w:color w:val="000000" w:themeColor="text1"/>
          <w:sz w:val="32"/>
          <w:szCs w:val="32"/>
          <w:highlight w:val="none"/>
          <w14:textFill>
            <w14:solidFill>
              <w14:schemeClr w14:val="tx1"/>
            </w14:solidFill>
          </w14:textFill>
        </w:rPr>
        <w:t>本规</w:t>
      </w:r>
      <w:r>
        <w:rPr>
          <w:rFonts w:hint="eastAsia" w:ascii="仿宋" w:hAnsi="仿宋" w:eastAsia="仿宋" w:cs="仿宋"/>
          <w:color w:val="000000" w:themeColor="text1"/>
          <w:sz w:val="32"/>
          <w:szCs w:val="32"/>
          <w:highlight w:val="none"/>
          <w:lang w:eastAsia="zh-CN"/>
          <w14:textFill>
            <w14:solidFill>
              <w14:schemeClr w14:val="tx1"/>
            </w14:solidFill>
          </w14:textFill>
        </w:rPr>
        <w:t>定</w:t>
      </w:r>
      <w:r>
        <w:rPr>
          <w:rFonts w:hint="eastAsia" w:ascii="仿宋" w:hAnsi="仿宋" w:eastAsia="仿宋" w:cs="仿宋"/>
          <w:color w:val="000000" w:themeColor="text1"/>
          <w:sz w:val="32"/>
          <w:szCs w:val="32"/>
          <w:highlight w:val="none"/>
          <w14:textFill>
            <w14:solidFill>
              <w14:schemeClr w14:val="tx1"/>
            </w14:solidFill>
          </w14:textFill>
        </w:rPr>
        <w:t>所称“中小学”引用《中华人民共和国未成年人保护法》的“学校”含义：指普通中小学、中等职业学校、特殊教育学校、专门学校。</w:t>
      </w:r>
    </w:p>
    <w:p w14:paraId="7E70E64E">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特殊教育学校”：特殊教育学校是指由政府、企业事业组织、社会团体、其他社会组织及公民个人依法举办的专门对残疾儿童、少年实施义务教育的机构。（见《特殊教育学校暂行规程》，中华人民共和国教育部令，1998年12月2日颁布）。</w:t>
      </w:r>
    </w:p>
    <w:p w14:paraId="1B393789">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专门学校”：国家加强专门学校建设，对有严重不良行为的未成年人进行专门教育。专门教育是国民教育体系的组成部分，是对有严重不良行为的未成年人进行教育和矫治的重要保护处分措施。（见《中华人民共和国预防未成年人犯罪法》，自2021年6月1日起施行）。</w:t>
      </w:r>
    </w:p>
    <w:p w14:paraId="5FD9DDF5">
      <w:pPr>
        <w:pStyle w:val="2"/>
        <w:keepNext w:val="0"/>
        <w:keepLines w:val="0"/>
        <w:pageBreakBefore w:val="0"/>
        <w:kinsoku/>
        <w:wordWrap/>
        <w:overflowPunct/>
        <w:topLinePunct w:val="0"/>
        <w:autoSpaceDE/>
        <w:autoSpaceDN/>
        <w:bidi w:val="0"/>
        <w:adjustRightInd/>
        <w:snapToGrid/>
        <w:spacing w:line="575" w:lineRule="exac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    宾馆酒店客房数量以相关机构认定的客房数量为准。  </w:t>
      </w:r>
    </w:p>
    <w:p w14:paraId="6D2628E3">
      <w:pPr>
        <w:keepNext w:val="0"/>
        <w:keepLines w:val="0"/>
        <w:pageBreakBefore w:val="0"/>
        <w:kinsoku/>
        <w:wordWrap/>
        <w:overflowPunct/>
        <w:topLinePunct w:val="0"/>
        <w:autoSpaceDE/>
        <w:autoSpaceDN/>
        <w:bidi w:val="0"/>
        <w:adjustRightInd/>
        <w:snapToGrid/>
        <w:spacing w:line="575" w:lineRule="exact"/>
        <w:ind w:firstLine="631"/>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第</w:t>
      </w:r>
      <w:r>
        <w:rPr>
          <w:rFonts w:hint="eastAsia" w:ascii="楷体" w:hAnsi="楷体" w:eastAsia="楷体" w:cs="楷体"/>
          <w:color w:val="000000" w:themeColor="text1"/>
          <w:sz w:val="32"/>
          <w:szCs w:val="32"/>
          <w:highlight w:val="none"/>
          <w:lang w:eastAsia="zh-CN"/>
          <w14:textFill>
            <w14:solidFill>
              <w14:schemeClr w14:val="tx1"/>
            </w14:solidFill>
          </w14:textFill>
        </w:rPr>
        <w:t>二十</w:t>
      </w:r>
      <w:r>
        <w:rPr>
          <w:rFonts w:hint="eastAsia" w:ascii="楷体" w:hAnsi="楷体" w:eastAsia="楷体" w:cs="楷体"/>
          <w:color w:val="000000" w:themeColor="text1"/>
          <w:sz w:val="32"/>
          <w:szCs w:val="32"/>
          <w:highlight w:val="none"/>
          <w:lang w:val="en-US" w:eastAsia="zh-CN"/>
          <w14:textFill>
            <w14:solidFill>
              <w14:schemeClr w14:val="tx1"/>
            </w14:solidFill>
          </w14:textFill>
        </w:rPr>
        <w:t>二</w:t>
      </w:r>
      <w:r>
        <w:rPr>
          <w:rFonts w:hint="eastAsia" w:ascii="楷体" w:hAnsi="楷体" w:eastAsia="楷体" w:cs="楷体"/>
          <w:color w:val="000000" w:themeColor="text1"/>
          <w:sz w:val="32"/>
          <w:szCs w:val="32"/>
          <w:highlight w:val="none"/>
          <w14:textFill>
            <w14:solidFill>
              <w14:schemeClr w14:val="tx1"/>
            </w14:solidFill>
          </w14:textFill>
        </w:rPr>
        <w:t xml:space="preserve">条 </w:t>
      </w:r>
      <w:r>
        <w:rPr>
          <w:rFonts w:hint="eastAsia" w:ascii="仿宋" w:hAnsi="仿宋" w:eastAsia="仿宋" w:cs="仿宋"/>
          <w:color w:val="000000" w:themeColor="text1"/>
          <w:sz w:val="32"/>
          <w:szCs w:val="32"/>
          <w:highlight w:val="none"/>
          <w14:textFill>
            <w14:solidFill>
              <w14:schemeClr w14:val="tx1"/>
            </w14:solidFill>
          </w14:textFill>
        </w:rPr>
        <w:t>本规</w:t>
      </w:r>
      <w:r>
        <w:rPr>
          <w:rFonts w:hint="eastAsia" w:ascii="仿宋" w:hAnsi="仿宋" w:eastAsia="仿宋" w:cs="仿宋"/>
          <w:color w:val="000000" w:themeColor="text1"/>
          <w:sz w:val="32"/>
          <w:szCs w:val="32"/>
          <w:highlight w:val="none"/>
          <w:lang w:eastAsia="zh-CN"/>
          <w14:textFill>
            <w14:solidFill>
              <w14:schemeClr w14:val="tx1"/>
            </w14:solidFill>
          </w14:textFill>
        </w:rPr>
        <w:t>定</w:t>
      </w:r>
      <w:r>
        <w:rPr>
          <w:rFonts w:hint="eastAsia" w:ascii="仿宋" w:hAnsi="仿宋" w:eastAsia="仿宋" w:cs="仿宋"/>
          <w:color w:val="000000" w:themeColor="text1"/>
          <w:sz w:val="32"/>
          <w:szCs w:val="32"/>
          <w:highlight w:val="none"/>
          <w14:textFill>
            <w14:solidFill>
              <w14:schemeClr w14:val="tx1"/>
            </w14:solidFill>
          </w14:textFill>
        </w:rPr>
        <w:t>所称“幼儿园”指具有幼儿园性质的学前教育机构。</w:t>
      </w:r>
    </w:p>
    <w:p w14:paraId="5C860A11">
      <w:pPr>
        <w:keepNext w:val="0"/>
        <w:keepLines w:val="0"/>
        <w:pageBreakBefore w:val="0"/>
        <w:kinsoku/>
        <w:wordWrap/>
        <w:overflowPunct/>
        <w:topLinePunct w:val="0"/>
        <w:autoSpaceDE/>
        <w:autoSpaceDN/>
        <w:bidi w:val="0"/>
        <w:adjustRightInd/>
        <w:snapToGrid/>
        <w:spacing w:line="575" w:lineRule="exact"/>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    </w:t>
      </w:r>
      <w:r>
        <w:rPr>
          <w:rFonts w:hint="eastAsia" w:ascii="楷体" w:hAnsi="楷体" w:eastAsia="楷体" w:cs="楷体"/>
          <w:color w:val="000000" w:themeColor="text1"/>
          <w:sz w:val="32"/>
          <w:szCs w:val="32"/>
          <w:highlight w:val="none"/>
          <w14:textFill>
            <w14:solidFill>
              <w14:schemeClr w14:val="tx1"/>
            </w14:solidFill>
          </w14:textFill>
        </w:rPr>
        <w:t>第</w:t>
      </w:r>
      <w:r>
        <w:rPr>
          <w:rFonts w:hint="eastAsia" w:ascii="楷体" w:hAnsi="楷体" w:eastAsia="楷体" w:cs="楷体"/>
          <w:color w:val="000000" w:themeColor="text1"/>
          <w:sz w:val="32"/>
          <w:szCs w:val="32"/>
          <w:highlight w:val="none"/>
          <w:lang w:eastAsia="zh-CN"/>
          <w14:textFill>
            <w14:solidFill>
              <w14:schemeClr w14:val="tx1"/>
            </w14:solidFill>
          </w14:textFill>
        </w:rPr>
        <w:t>二十</w:t>
      </w:r>
      <w:r>
        <w:rPr>
          <w:rFonts w:hint="eastAsia" w:ascii="楷体" w:hAnsi="楷体" w:eastAsia="楷体" w:cs="楷体"/>
          <w:color w:val="000000" w:themeColor="text1"/>
          <w:sz w:val="32"/>
          <w:szCs w:val="32"/>
          <w:highlight w:val="none"/>
          <w:lang w:val="en-US" w:eastAsia="zh-CN"/>
          <w14:textFill>
            <w14:solidFill>
              <w14:schemeClr w14:val="tx1"/>
            </w14:solidFill>
          </w14:textFill>
        </w:rPr>
        <w:t>三</w:t>
      </w:r>
      <w:r>
        <w:rPr>
          <w:rFonts w:hint="eastAsia" w:ascii="楷体" w:hAnsi="楷体" w:eastAsia="楷体" w:cs="楷体"/>
          <w:color w:val="000000" w:themeColor="text1"/>
          <w:sz w:val="32"/>
          <w:szCs w:val="32"/>
          <w:highlight w:val="none"/>
          <w14:textFill>
            <w14:solidFill>
              <w14:schemeClr w14:val="tx1"/>
            </w14:solidFill>
          </w14:textFill>
        </w:rPr>
        <w:t>条</w:t>
      </w:r>
      <w:r>
        <w:rPr>
          <w:rFonts w:hint="eastAsia" w:ascii="仿宋" w:hAnsi="仿宋" w:eastAsia="仿宋" w:cs="仿宋"/>
          <w:color w:val="000000" w:themeColor="text1"/>
          <w:sz w:val="32"/>
          <w:szCs w:val="32"/>
          <w:highlight w:val="none"/>
          <w14:textFill>
            <w14:solidFill>
              <w14:schemeClr w14:val="tx1"/>
            </w14:solidFill>
          </w14:textFill>
        </w:rPr>
        <w:t xml:space="preserve"> 本规</w:t>
      </w:r>
      <w:r>
        <w:rPr>
          <w:rFonts w:hint="eastAsia" w:ascii="仿宋" w:hAnsi="仿宋" w:eastAsia="仿宋" w:cs="仿宋"/>
          <w:color w:val="000000" w:themeColor="text1"/>
          <w:sz w:val="32"/>
          <w:szCs w:val="32"/>
          <w:highlight w:val="none"/>
          <w:lang w:eastAsia="zh-CN"/>
          <w14:textFill>
            <w14:solidFill>
              <w14:schemeClr w14:val="tx1"/>
            </w14:solidFill>
          </w14:textFill>
        </w:rPr>
        <w:t>定</w:t>
      </w:r>
      <w:r>
        <w:rPr>
          <w:rFonts w:hint="eastAsia" w:ascii="仿宋" w:hAnsi="仿宋" w:eastAsia="仿宋" w:cs="仿宋"/>
          <w:color w:val="000000" w:themeColor="text1"/>
          <w:sz w:val="32"/>
          <w:szCs w:val="32"/>
          <w:highlight w:val="none"/>
          <w14:textFill>
            <w14:solidFill>
              <w14:schemeClr w14:val="tx1"/>
            </w14:solidFill>
          </w14:textFill>
        </w:rPr>
        <w:t>所称的“以内”、“以上”、“不低于”、“不得超过”均含本数。</w:t>
      </w:r>
    </w:p>
    <w:p w14:paraId="11D074EC">
      <w:pPr>
        <w:keepNext w:val="0"/>
        <w:keepLines w:val="0"/>
        <w:pageBreakBefore w:val="0"/>
        <w:kinsoku/>
        <w:wordWrap/>
        <w:overflowPunct/>
        <w:topLinePunct w:val="0"/>
        <w:autoSpaceDE/>
        <w:autoSpaceDN/>
        <w:bidi w:val="0"/>
        <w:adjustRightInd/>
        <w:snapToGrid/>
        <w:spacing w:line="575" w:lineRule="exact"/>
        <w:ind w:firstLine="631"/>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楷体" w:hAnsi="楷体" w:eastAsia="楷体" w:cs="楷体"/>
          <w:color w:val="000000" w:themeColor="text1"/>
          <w:sz w:val="32"/>
          <w:szCs w:val="32"/>
          <w:highlight w:val="none"/>
          <w14:textFill>
            <w14:solidFill>
              <w14:schemeClr w14:val="tx1"/>
            </w14:solidFill>
          </w14:textFill>
        </w:rPr>
        <w:t>第</w:t>
      </w:r>
      <w:r>
        <w:rPr>
          <w:rFonts w:hint="eastAsia" w:ascii="楷体" w:hAnsi="楷体" w:eastAsia="楷体" w:cs="楷体"/>
          <w:color w:val="000000" w:themeColor="text1"/>
          <w:sz w:val="32"/>
          <w:szCs w:val="32"/>
          <w:highlight w:val="none"/>
          <w:lang w:eastAsia="zh-CN"/>
          <w14:textFill>
            <w14:solidFill>
              <w14:schemeClr w14:val="tx1"/>
            </w14:solidFill>
          </w14:textFill>
        </w:rPr>
        <w:t>二十</w:t>
      </w:r>
      <w:r>
        <w:rPr>
          <w:rFonts w:hint="eastAsia" w:ascii="楷体" w:hAnsi="楷体" w:eastAsia="楷体" w:cs="楷体"/>
          <w:color w:val="000000" w:themeColor="text1"/>
          <w:sz w:val="32"/>
          <w:szCs w:val="32"/>
          <w:highlight w:val="none"/>
          <w:lang w:val="en-US" w:eastAsia="zh-CN"/>
          <w14:textFill>
            <w14:solidFill>
              <w14:schemeClr w14:val="tx1"/>
            </w14:solidFill>
          </w14:textFill>
        </w:rPr>
        <w:t>四</w:t>
      </w:r>
      <w:r>
        <w:rPr>
          <w:rFonts w:hint="eastAsia" w:ascii="楷体" w:hAnsi="楷体" w:eastAsia="楷体" w:cs="楷体"/>
          <w:color w:val="000000" w:themeColor="text1"/>
          <w:sz w:val="32"/>
          <w:szCs w:val="32"/>
          <w:highlight w:val="none"/>
          <w14:textFill>
            <w14:solidFill>
              <w14:schemeClr w14:val="tx1"/>
            </w14:solidFill>
          </w14:textFill>
        </w:rPr>
        <w:t>条</w:t>
      </w:r>
      <w:r>
        <w:rPr>
          <w:rFonts w:hint="eastAsia" w:ascii="仿宋" w:hAnsi="仿宋" w:eastAsia="仿宋" w:cs="仿宋"/>
          <w:color w:val="000000" w:themeColor="text1"/>
          <w:sz w:val="32"/>
          <w:szCs w:val="32"/>
          <w:highlight w:val="none"/>
          <w14:textFill>
            <w14:solidFill>
              <w14:schemeClr w14:val="tx1"/>
            </w14:solidFill>
          </w14:textFill>
        </w:rPr>
        <w:t xml:space="preserve"> 本规定中“与烟草制品零售业务没有直接或间接互补营销关系的其他业态类型”包括但不限于蛋糕店、礼品回收店、自行车童车店、母婴用品店、汽车租赁店、农畜养殖店、渔具店、花卉店、报亭、文玩古董店、油库营业室、水产店、调味品经销店、粮油店、蔬菜店、水果店、化肥农药店、农机农具店、宠物店、种子经营店、化妆品店、美发店、美容店、药妆医械、医药机械药品店、奶茶店、熟食店、肉类店、面条加工店、成人用品店、五金建材店、仪器仪表店、建筑装潢店、灯具灯饰店、修理修配店、汽车美容店、汽车修理店、汽车清洗店、烧烤小吃店、日杂日化店、洗涤护理店、照相馆、打字复印店、废品回收点、农产品养殖及加工、学生文具用品店、体育用品店、床上用品店、家纺店、家电家具店、金银珠宝店、图书店、音像制品店、通信器材店、花圈店、服装制售店、婚庆殡葬店、网吧、影楼、浴室、电子游戏、按摩推拿、足疗养生、健身中心、金融证券、中介劳服、寄卖典当、汽车租赁、收发快递为主</w:t>
      </w:r>
      <w:r>
        <w:rPr>
          <w:rFonts w:hint="eastAsia" w:ascii="仿宋" w:hAnsi="仿宋" w:eastAsia="仿宋" w:cs="仿宋"/>
          <w:color w:val="000000" w:themeColor="text1"/>
          <w:sz w:val="32"/>
          <w:szCs w:val="32"/>
          <w:highlight w:val="none"/>
          <w:lang w:eastAsia="zh-CN"/>
          <w14:textFill>
            <w14:solidFill>
              <w14:schemeClr w14:val="tx1"/>
            </w14:solidFill>
          </w14:textFill>
        </w:rPr>
        <w:t>（经营快递业务占营业面积</w:t>
      </w:r>
      <w:r>
        <w:rPr>
          <w:rFonts w:hint="eastAsia" w:ascii="仿宋" w:hAnsi="仿宋" w:eastAsia="仿宋" w:cs="仿宋"/>
          <w:color w:val="000000" w:themeColor="text1"/>
          <w:sz w:val="32"/>
          <w:szCs w:val="32"/>
          <w:highlight w:val="none"/>
          <w:lang w:val="en-US" w:eastAsia="zh-CN"/>
          <w14:textFill>
            <w14:solidFill>
              <w14:schemeClr w14:val="tx1"/>
            </w14:solidFill>
          </w14:textFill>
        </w:rPr>
        <w:t>30%</w:t>
      </w:r>
      <w:r>
        <w:rPr>
          <w:rFonts w:hint="eastAsia" w:ascii="仿宋" w:hAnsi="仿宋" w:eastAsia="仿宋" w:cs="仿宋"/>
          <w:color w:val="000000" w:themeColor="text1"/>
          <w:sz w:val="32"/>
          <w:szCs w:val="32"/>
          <w:highlight w:val="none"/>
          <w:lang w:eastAsia="zh-CN"/>
          <w14:textFill>
            <w14:solidFill>
              <w14:schemeClr w14:val="tx1"/>
            </w14:solidFill>
          </w14:textFill>
        </w:rPr>
        <w:t>以上（含</w:t>
      </w:r>
      <w:r>
        <w:rPr>
          <w:rFonts w:hint="eastAsia" w:ascii="仿宋" w:hAnsi="仿宋" w:eastAsia="仿宋" w:cs="仿宋"/>
          <w:color w:val="000000" w:themeColor="text1"/>
          <w:sz w:val="32"/>
          <w:szCs w:val="32"/>
          <w:highlight w:val="none"/>
          <w:lang w:val="en-US" w:eastAsia="zh-CN"/>
          <w14:textFill>
            <w14:solidFill>
              <w14:schemeClr w14:val="tx1"/>
            </w14:solidFill>
          </w14:textFill>
        </w:rPr>
        <w:t>30%</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14:textFill>
            <w14:solidFill>
              <w14:schemeClr w14:val="tx1"/>
            </w14:solidFill>
          </w14:textFill>
        </w:rPr>
        <w:t>的网点、旅行社、旅店、招待所等</w:t>
      </w:r>
      <w:r>
        <w:rPr>
          <w:rFonts w:hint="eastAsia" w:ascii="仿宋" w:hAnsi="仿宋" w:eastAsia="仿宋" w:cs="仿宋"/>
          <w:color w:val="000000" w:themeColor="text1"/>
          <w:sz w:val="32"/>
          <w:szCs w:val="32"/>
          <w:highlight w:val="none"/>
          <w:lang w:eastAsia="zh-CN"/>
          <w14:textFill>
            <w14:solidFill>
              <w14:schemeClr w14:val="tx1"/>
            </w14:solidFill>
          </w14:textFill>
        </w:rPr>
        <w:t>。</w:t>
      </w:r>
    </w:p>
    <w:p w14:paraId="7D75E8A5">
      <w:pPr>
        <w:keepNext w:val="0"/>
        <w:keepLines w:val="0"/>
        <w:pageBreakBefore w:val="0"/>
        <w:kinsoku/>
        <w:wordWrap/>
        <w:overflowPunct/>
        <w:topLinePunct w:val="0"/>
        <w:autoSpaceDE/>
        <w:autoSpaceDN/>
        <w:bidi w:val="0"/>
        <w:adjustRightInd/>
        <w:snapToGrid/>
        <w:spacing w:line="575" w:lineRule="exact"/>
        <w:ind w:firstLine="631"/>
        <w:textAlignment w:val="auto"/>
        <w:rPr>
          <w:rFonts w:ascii="仿宋" w:hAnsi="仿宋" w:eastAsia="仿宋" w:cs="仿宋"/>
          <w:color w:val="000000" w:themeColor="text1"/>
          <w:sz w:val="32"/>
          <w:szCs w:val="32"/>
          <w:highlight w:val="none"/>
          <w14:textFill>
            <w14:solidFill>
              <w14:schemeClr w14:val="tx1"/>
            </w14:solidFill>
          </w14:textFill>
        </w:rPr>
      </w:pPr>
      <w:r>
        <w:rPr>
          <w:rFonts w:hint="eastAsia" w:ascii="楷体" w:hAnsi="楷体" w:eastAsia="楷体" w:cs="楷体"/>
          <w:color w:val="000000" w:themeColor="text1"/>
          <w:sz w:val="32"/>
          <w:szCs w:val="32"/>
          <w:highlight w:val="none"/>
          <w:lang w:eastAsia="zh-CN"/>
          <w14:textFill>
            <w14:solidFill>
              <w14:schemeClr w14:val="tx1"/>
            </w14:solidFill>
          </w14:textFill>
        </w:rPr>
        <w:t>第二十</w:t>
      </w:r>
      <w:r>
        <w:rPr>
          <w:rFonts w:hint="eastAsia" w:ascii="楷体" w:hAnsi="楷体" w:eastAsia="楷体" w:cs="楷体"/>
          <w:color w:val="000000" w:themeColor="text1"/>
          <w:sz w:val="32"/>
          <w:szCs w:val="32"/>
          <w:highlight w:val="none"/>
          <w:lang w:val="en-US" w:eastAsia="zh-CN"/>
          <w14:textFill>
            <w14:solidFill>
              <w14:schemeClr w14:val="tx1"/>
            </w14:solidFill>
          </w14:textFill>
        </w:rPr>
        <w:t>五</w:t>
      </w:r>
      <w:r>
        <w:rPr>
          <w:rFonts w:hint="eastAsia" w:ascii="楷体" w:hAnsi="楷体" w:eastAsia="楷体" w:cs="楷体"/>
          <w:color w:val="000000" w:themeColor="text1"/>
          <w:sz w:val="32"/>
          <w:szCs w:val="32"/>
          <w:highlight w:val="none"/>
          <w:lang w:eastAsia="zh-CN"/>
          <w14:textFill>
            <w14:solidFill>
              <w14:schemeClr w14:val="tx1"/>
            </w14:solidFill>
          </w14:textFill>
        </w:rPr>
        <w:t>条</w:t>
      </w:r>
      <w:r>
        <w:rPr>
          <w:rFonts w:hint="eastAsia" w:ascii="楷体" w:hAnsi="楷体" w:eastAsia="楷体" w:cs="楷体"/>
          <w:color w:val="000000" w:themeColor="text1"/>
          <w:sz w:val="32"/>
          <w:szCs w:val="32"/>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14:textFill>
            <w14:solidFill>
              <w14:schemeClr w14:val="tx1"/>
            </w14:solidFill>
          </w14:textFill>
        </w:rPr>
        <w:t>本规</w:t>
      </w:r>
      <w:r>
        <w:rPr>
          <w:rFonts w:hint="eastAsia" w:ascii="仿宋" w:hAnsi="仿宋" w:eastAsia="仿宋" w:cs="仿宋"/>
          <w:color w:val="000000" w:themeColor="text1"/>
          <w:sz w:val="32"/>
          <w:szCs w:val="32"/>
          <w:highlight w:val="none"/>
          <w:lang w:eastAsia="zh-CN"/>
          <w14:textFill>
            <w14:solidFill>
              <w14:schemeClr w14:val="tx1"/>
            </w14:solidFill>
          </w14:textFill>
        </w:rPr>
        <w:t>定</w:t>
      </w:r>
      <w:r>
        <w:rPr>
          <w:rFonts w:hint="eastAsia" w:ascii="仿宋" w:hAnsi="仿宋" w:eastAsia="仿宋" w:cs="仿宋"/>
          <w:color w:val="000000" w:themeColor="text1"/>
          <w:sz w:val="32"/>
          <w:szCs w:val="32"/>
          <w:highlight w:val="none"/>
          <w:lang w:val="en-US" w:eastAsia="zh-CN"/>
          <w14:textFill>
            <w14:solidFill>
              <w14:schemeClr w14:val="tx1"/>
            </w14:solidFill>
          </w14:textFill>
        </w:rPr>
        <w:t>由汝州市烟草</w:t>
      </w:r>
      <w:r>
        <w:rPr>
          <w:rFonts w:hint="eastAsia" w:ascii="仿宋" w:hAnsi="仿宋" w:eastAsia="仿宋" w:cs="仿宋"/>
          <w:color w:val="000000" w:themeColor="text1"/>
          <w:sz w:val="32"/>
          <w:szCs w:val="32"/>
          <w:highlight w:val="none"/>
          <w14:textFill>
            <w14:solidFill>
              <w14:schemeClr w14:val="tx1"/>
            </w14:solidFill>
          </w14:textFill>
        </w:rPr>
        <w:t>专卖局负责解释。</w:t>
      </w:r>
    </w:p>
    <w:p w14:paraId="7DE3CBA5">
      <w:pPr>
        <w:keepNext w:val="0"/>
        <w:keepLines w:val="0"/>
        <w:pageBreakBefore w:val="0"/>
        <w:kinsoku/>
        <w:wordWrap/>
        <w:overflowPunct/>
        <w:topLinePunct w:val="0"/>
        <w:autoSpaceDE/>
        <w:autoSpaceDN/>
        <w:bidi w:val="0"/>
        <w:adjustRightInd/>
        <w:snapToGrid/>
        <w:spacing w:line="575" w:lineRule="exact"/>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 xml:space="preserve">    </w:t>
      </w:r>
      <w:r>
        <w:rPr>
          <w:rFonts w:hint="eastAsia" w:ascii="楷体" w:hAnsi="楷体" w:eastAsia="楷体" w:cs="楷体"/>
          <w:color w:val="000000" w:themeColor="text1"/>
          <w:sz w:val="32"/>
          <w:szCs w:val="32"/>
          <w:highlight w:val="none"/>
          <w14:textFill>
            <w14:solidFill>
              <w14:schemeClr w14:val="tx1"/>
            </w14:solidFill>
          </w14:textFill>
        </w:rPr>
        <w:t>第二十</w:t>
      </w:r>
      <w:r>
        <w:rPr>
          <w:rFonts w:hint="eastAsia" w:ascii="楷体" w:hAnsi="楷体" w:eastAsia="楷体" w:cs="楷体"/>
          <w:color w:val="000000" w:themeColor="text1"/>
          <w:sz w:val="32"/>
          <w:szCs w:val="32"/>
          <w:highlight w:val="none"/>
          <w:lang w:val="en-US" w:eastAsia="zh-CN"/>
          <w14:textFill>
            <w14:solidFill>
              <w14:schemeClr w14:val="tx1"/>
            </w14:solidFill>
          </w14:textFill>
        </w:rPr>
        <w:t>六</w:t>
      </w:r>
      <w:r>
        <w:rPr>
          <w:rFonts w:hint="eastAsia" w:ascii="楷体" w:hAnsi="楷体" w:eastAsia="楷体" w:cs="楷体"/>
          <w:color w:val="000000" w:themeColor="text1"/>
          <w:sz w:val="32"/>
          <w:szCs w:val="32"/>
          <w:highlight w:val="none"/>
          <w14:textFill>
            <w14:solidFill>
              <w14:schemeClr w14:val="tx1"/>
            </w14:solidFill>
          </w14:textFill>
        </w:rPr>
        <w:t>条</w:t>
      </w:r>
      <w:r>
        <w:rPr>
          <w:rFonts w:hint="eastAsia" w:ascii="楷体" w:hAnsi="楷体" w:eastAsia="楷体" w:cs="楷体"/>
          <w:color w:val="000000" w:themeColor="text1"/>
          <w:sz w:val="32"/>
          <w:szCs w:val="32"/>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14:textFill>
            <w14:solidFill>
              <w14:schemeClr w14:val="tx1"/>
            </w14:solidFill>
          </w14:textFill>
        </w:rPr>
        <w:t>本规</w:t>
      </w:r>
      <w:r>
        <w:rPr>
          <w:rFonts w:hint="eastAsia" w:ascii="仿宋" w:hAnsi="仿宋" w:eastAsia="仿宋" w:cs="仿宋"/>
          <w:color w:val="000000" w:themeColor="text1"/>
          <w:sz w:val="32"/>
          <w:szCs w:val="32"/>
          <w:highlight w:val="none"/>
          <w:lang w:eastAsia="zh-CN"/>
          <w14:textFill>
            <w14:solidFill>
              <w14:schemeClr w14:val="tx1"/>
            </w14:solidFill>
          </w14:textFill>
        </w:rPr>
        <w:t>定</w:t>
      </w:r>
      <w:r>
        <w:rPr>
          <w:rFonts w:hint="eastAsia" w:ascii="仿宋" w:hAnsi="仿宋" w:eastAsia="仿宋" w:cs="仿宋"/>
          <w:color w:val="000000" w:themeColor="text1"/>
          <w:sz w:val="32"/>
          <w:szCs w:val="32"/>
          <w:highlight w:val="none"/>
          <w14:textFill>
            <w14:solidFill>
              <w14:schemeClr w14:val="tx1"/>
            </w14:solidFill>
          </w14:textFill>
        </w:rPr>
        <w:t>自</w:t>
      </w:r>
      <w:r>
        <w:rPr>
          <w:rFonts w:hint="eastAsia" w:ascii="仿宋" w:hAnsi="仿宋" w:eastAsia="仿宋" w:cs="仿宋"/>
          <w:color w:val="000000" w:themeColor="text1"/>
          <w:sz w:val="32"/>
          <w:szCs w:val="32"/>
          <w:highlight w:val="none"/>
          <w:lang w:val="en-US" w:eastAsia="zh-CN"/>
          <w14:textFill>
            <w14:solidFill>
              <w14:schemeClr w14:val="tx1"/>
            </w14:solidFill>
          </w14:textFill>
        </w:rPr>
        <w:t>2026年12月1日</w:t>
      </w:r>
      <w:r>
        <w:rPr>
          <w:rFonts w:hint="eastAsia" w:ascii="仿宋" w:hAnsi="仿宋" w:eastAsia="仿宋" w:cs="仿宋"/>
          <w:color w:val="000000" w:themeColor="text1"/>
          <w:sz w:val="32"/>
          <w:szCs w:val="32"/>
          <w:highlight w:val="none"/>
          <w14:textFill>
            <w14:solidFill>
              <w14:schemeClr w14:val="tx1"/>
            </w14:solidFill>
          </w14:textFill>
        </w:rPr>
        <w:t>起实施，原《</w:t>
      </w:r>
      <w:r>
        <w:rPr>
          <w:rFonts w:hint="eastAsia" w:ascii="仿宋" w:hAnsi="仿宋" w:eastAsia="仿宋" w:cs="仿宋"/>
          <w:color w:val="000000" w:themeColor="text1"/>
          <w:sz w:val="32"/>
          <w:szCs w:val="32"/>
          <w:highlight w:val="none"/>
          <w:lang w:eastAsia="zh-CN"/>
          <w14:textFill>
            <w14:solidFill>
              <w14:schemeClr w14:val="tx1"/>
            </w14:solidFill>
          </w14:textFill>
        </w:rPr>
        <w:t>汝州市</w:t>
      </w:r>
      <w:r>
        <w:rPr>
          <w:rFonts w:hint="eastAsia" w:ascii="仿宋" w:hAnsi="仿宋" w:eastAsia="仿宋" w:cs="仿宋"/>
          <w:color w:val="000000" w:themeColor="text1"/>
          <w:sz w:val="32"/>
          <w:szCs w:val="32"/>
          <w:highlight w:val="none"/>
          <w14:textFill>
            <w14:solidFill>
              <w14:schemeClr w14:val="tx1"/>
            </w14:solidFill>
          </w14:textFill>
        </w:rPr>
        <w:t>烟草制品零售点合理布局规划》（</w:t>
      </w:r>
      <w:r>
        <w:rPr>
          <w:rFonts w:hint="eastAsia" w:ascii="仿宋" w:hAnsi="仿宋" w:eastAsia="仿宋" w:cs="仿宋"/>
          <w:color w:val="000000" w:themeColor="text1"/>
          <w:sz w:val="32"/>
          <w:szCs w:val="32"/>
          <w:highlight w:val="none"/>
          <w:lang w:val="en-US" w:eastAsia="zh-CN"/>
          <w14:textFill>
            <w14:solidFill>
              <w14:schemeClr w14:val="tx1"/>
            </w14:solidFill>
          </w14:textFill>
        </w:rPr>
        <w:t>汝烟〔2025〕2号</w:t>
      </w:r>
      <w:r>
        <w:rPr>
          <w:rFonts w:hint="eastAsia" w:ascii="仿宋" w:hAnsi="仿宋" w:eastAsia="仿宋" w:cs="仿宋"/>
          <w:color w:val="000000" w:themeColor="text1"/>
          <w:sz w:val="32"/>
          <w:szCs w:val="32"/>
          <w:highlight w:val="none"/>
          <w14:textFill>
            <w14:solidFill>
              <w14:schemeClr w14:val="tx1"/>
            </w14:solidFill>
          </w14:textFill>
        </w:rPr>
        <w:t>）同时废止。</w:t>
      </w:r>
    </w:p>
    <w:p w14:paraId="25452745">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p>
    <w:p w14:paraId="1C137306">
      <w:pPr>
        <w:keepNext w:val="0"/>
        <w:keepLines w:val="0"/>
        <w:pageBreakBefore w:val="0"/>
        <w:kinsoku/>
        <w:wordWrap/>
        <w:overflowPunct/>
        <w:topLinePunct w:val="0"/>
        <w:autoSpaceDE/>
        <w:autoSpaceDN/>
        <w:bidi w:val="0"/>
        <w:adjustRightInd/>
        <w:snapToGrid/>
        <w:spacing w:line="575" w:lineRule="exact"/>
        <w:ind w:firstLine="632" w:firstLineChars="200"/>
        <w:textAlignment w:val="auto"/>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附件:</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14:textFill>
            <w14:solidFill>
              <w14:schemeClr w14:val="tx1"/>
            </w14:solidFill>
          </w14:textFill>
        </w:rPr>
        <w:t>1.</w:t>
      </w:r>
      <w:r>
        <w:rPr>
          <w:rFonts w:hint="eastAsia" w:ascii="仿宋" w:hAnsi="仿宋" w:eastAsia="仿宋" w:cs="仿宋"/>
          <w:color w:val="000000" w:themeColor="text1"/>
          <w:sz w:val="32"/>
          <w:szCs w:val="32"/>
          <w:highlight w:val="none"/>
          <w:lang w:eastAsia="zh-CN"/>
          <w14:textFill>
            <w14:solidFill>
              <w14:schemeClr w14:val="tx1"/>
            </w14:solidFill>
          </w14:textFill>
        </w:rPr>
        <w:t>汝州市</w:t>
      </w:r>
      <w:r>
        <w:rPr>
          <w:rFonts w:hint="eastAsia" w:ascii="仿宋" w:hAnsi="仿宋" w:eastAsia="仿宋" w:cs="仿宋"/>
          <w:color w:val="000000" w:themeColor="text1"/>
          <w:sz w:val="32"/>
          <w:szCs w:val="32"/>
          <w:highlight w:val="none"/>
          <w14:textFill>
            <w14:solidFill>
              <w14:schemeClr w14:val="tx1"/>
            </w14:solidFill>
          </w14:textFill>
        </w:rPr>
        <w:t>烟草制品零售点经营场所间距测量标准</w:t>
      </w:r>
    </w:p>
    <w:p w14:paraId="7CFD16BD">
      <w:pPr>
        <w:pStyle w:val="2"/>
        <w:keepNext w:val="0"/>
        <w:keepLines w:val="0"/>
        <w:pageBreakBefore w:val="0"/>
        <w:numPr>
          <w:ilvl w:val="0"/>
          <w:numId w:val="0"/>
        </w:numPr>
        <w:tabs>
          <w:tab w:val="left" w:pos="1010"/>
        </w:tabs>
        <w:kinsoku/>
        <w:wordWrap/>
        <w:overflowPunct/>
        <w:topLinePunct w:val="0"/>
        <w:autoSpaceDE/>
        <w:autoSpaceDN/>
        <w:bidi w:val="0"/>
        <w:adjustRightInd/>
        <w:snapToGrid/>
        <w:spacing w:after="0" w:line="575" w:lineRule="exact"/>
        <w:ind w:firstLine="1580" w:firstLineChars="500"/>
        <w:jc w:val="left"/>
        <w:textAlignment w:val="auto"/>
        <w:rPr>
          <w:rFonts w:hint="default" w:ascii="仿宋" w:hAnsi="仿宋" w:eastAsia="仿宋" w:cs="仿宋"/>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SA"/>
          <w14:textFill>
            <w14:solidFill>
              <w14:schemeClr w14:val="tx1"/>
            </w14:solidFill>
          </w14:textFill>
        </w:rPr>
        <w:t>2.汝州市市场单元布局信息目录</w:t>
      </w:r>
    </w:p>
    <w:p w14:paraId="13C3E0CE">
      <w:pPr>
        <w:pStyle w:val="2"/>
        <w:keepNext w:val="0"/>
        <w:keepLines w:val="0"/>
        <w:pageBreakBefore w:val="0"/>
        <w:numPr>
          <w:ilvl w:val="0"/>
          <w:numId w:val="0"/>
        </w:numPr>
        <w:kinsoku/>
        <w:wordWrap/>
        <w:overflowPunct/>
        <w:topLinePunct w:val="0"/>
        <w:autoSpaceDE/>
        <w:autoSpaceDN/>
        <w:bidi w:val="0"/>
        <w:adjustRightInd/>
        <w:snapToGrid/>
        <w:spacing w:after="0" w:line="575" w:lineRule="exact"/>
        <w:jc w:val="left"/>
        <w:textAlignment w:val="auto"/>
        <w:rPr>
          <w:rFonts w:hint="eastAsia" w:ascii="仿宋" w:hAnsi="仿宋" w:eastAsia="仿宋" w:cs="仿宋"/>
          <w:color w:val="000000" w:themeColor="text1"/>
          <w:kern w:val="0"/>
          <w:sz w:val="32"/>
          <w:szCs w:val="32"/>
          <w:highlight w:val="none"/>
          <w:shd w:val="clear" w:color="auto" w:fill="FFFFFF"/>
          <w14:textFill>
            <w14:solidFill>
              <w14:schemeClr w14:val="tx1"/>
            </w14:solidFill>
          </w14:textFill>
        </w:rPr>
      </w:pPr>
    </w:p>
    <w:p w14:paraId="24DEC9E2">
      <w:pPr>
        <w:keepNext w:val="0"/>
        <w:keepLines w:val="0"/>
        <w:pageBreakBefore w:val="0"/>
        <w:widowControl/>
        <w:kinsoku/>
        <w:wordWrap/>
        <w:overflowPunct/>
        <w:topLinePunct w:val="0"/>
        <w:autoSpaceDE/>
        <w:autoSpaceDN/>
        <w:bidi w:val="0"/>
        <w:adjustRightInd/>
        <w:snapToGrid/>
        <w:spacing w:line="575" w:lineRule="exact"/>
        <w:jc w:val="left"/>
        <w:textAlignment w:val="auto"/>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3C34D6C9">
      <w:pPr>
        <w:keepNext w:val="0"/>
        <w:keepLines w:val="0"/>
        <w:pageBreakBefore w:val="0"/>
        <w:widowControl/>
        <w:kinsoku/>
        <w:wordWrap/>
        <w:overflowPunct/>
        <w:topLinePunct w:val="0"/>
        <w:autoSpaceDE/>
        <w:autoSpaceDN/>
        <w:bidi w:val="0"/>
        <w:adjustRightInd/>
        <w:snapToGrid/>
        <w:spacing w:line="575" w:lineRule="exact"/>
        <w:jc w:val="left"/>
        <w:textAlignment w:val="auto"/>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37810078">
      <w:pPr>
        <w:keepNext w:val="0"/>
        <w:keepLines w:val="0"/>
        <w:pageBreakBefore w:val="0"/>
        <w:widowControl/>
        <w:kinsoku/>
        <w:wordWrap/>
        <w:overflowPunct/>
        <w:topLinePunct w:val="0"/>
        <w:autoSpaceDE/>
        <w:autoSpaceDN/>
        <w:bidi w:val="0"/>
        <w:adjustRightInd/>
        <w:snapToGrid/>
        <w:spacing w:line="575" w:lineRule="exact"/>
        <w:jc w:val="left"/>
        <w:textAlignment w:val="auto"/>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01F76029">
      <w:pPr>
        <w:keepNext w:val="0"/>
        <w:keepLines w:val="0"/>
        <w:pageBreakBefore w:val="0"/>
        <w:widowControl/>
        <w:kinsoku/>
        <w:wordWrap/>
        <w:overflowPunct/>
        <w:topLinePunct w:val="0"/>
        <w:autoSpaceDE/>
        <w:autoSpaceDN/>
        <w:bidi w:val="0"/>
        <w:adjustRightInd/>
        <w:snapToGrid/>
        <w:spacing w:line="575" w:lineRule="exact"/>
        <w:jc w:val="left"/>
        <w:textAlignment w:val="auto"/>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2AA070E6">
      <w:pPr>
        <w:keepNext w:val="0"/>
        <w:keepLines w:val="0"/>
        <w:pageBreakBefore w:val="0"/>
        <w:widowControl/>
        <w:kinsoku/>
        <w:wordWrap/>
        <w:overflowPunct/>
        <w:topLinePunct w:val="0"/>
        <w:autoSpaceDE/>
        <w:autoSpaceDN/>
        <w:bidi w:val="0"/>
        <w:adjustRightInd/>
        <w:snapToGrid/>
        <w:spacing w:line="575" w:lineRule="exact"/>
        <w:jc w:val="left"/>
        <w:textAlignment w:val="auto"/>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3CFA7975">
      <w:pPr>
        <w:widowControl/>
        <w:jc w:val="left"/>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6524EE91">
      <w:pPr>
        <w:widowControl/>
        <w:jc w:val="left"/>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40C882E3">
      <w:pPr>
        <w:widowControl/>
        <w:jc w:val="left"/>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1B7B2EB2">
      <w:pPr>
        <w:widowControl/>
        <w:jc w:val="left"/>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1B2A3B4F">
      <w:pPr>
        <w:widowControl/>
        <w:jc w:val="left"/>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648595CE">
      <w:pPr>
        <w:widowControl/>
        <w:jc w:val="left"/>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17434E76">
      <w:pPr>
        <w:widowControl/>
        <w:jc w:val="left"/>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6B369824">
      <w:pPr>
        <w:widowControl/>
        <w:jc w:val="left"/>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667C9868">
      <w:pPr>
        <w:widowControl/>
        <w:jc w:val="left"/>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p>
    <w:p w14:paraId="3B2AF007">
      <w:pPr>
        <w:widowControl/>
        <w:jc w:val="left"/>
        <w:rPr>
          <w:rFonts w:ascii="黑体" w:hAnsi="黑体" w:eastAsia="黑体" w:cs="仿宋"/>
          <w:color w:val="000000" w:themeColor="text1"/>
          <w:sz w:val="32"/>
          <w:szCs w:val="32"/>
          <w:highlight w:val="none"/>
          <w:shd w:val="clear" w:color="auto" w:fill="FFFFFF"/>
          <w14:textFill>
            <w14:solidFill>
              <w14:schemeClr w14:val="tx1"/>
            </w14:solidFill>
          </w14:textFill>
        </w:rPr>
      </w:pPr>
      <w:r>
        <w:rPr>
          <w:rFonts w:hint="eastAsia" w:ascii="黑体" w:hAnsi="黑体" w:eastAsia="黑体" w:cs="仿宋"/>
          <w:color w:val="000000" w:themeColor="text1"/>
          <w:sz w:val="32"/>
          <w:szCs w:val="32"/>
          <w:highlight w:val="none"/>
          <w:shd w:val="clear" w:color="auto" w:fill="FFFFFF"/>
          <w14:textFill>
            <w14:solidFill>
              <w14:schemeClr w14:val="tx1"/>
            </w14:solidFill>
          </w14:textFill>
        </w:rPr>
        <w:t>附件1</w:t>
      </w:r>
    </w:p>
    <w:p w14:paraId="1653667F">
      <w:pPr>
        <w:pStyle w:val="6"/>
        <w:shd w:val="clear" w:color="auto" w:fill="FFFFFF"/>
        <w:spacing w:before="0" w:beforeAutospacing="0" w:after="0" w:afterAutospacing="0" w:line="576" w:lineRule="exact"/>
        <w:jc w:val="center"/>
        <w:rPr>
          <w:rFonts w:ascii="方正小标宋简体" w:hAnsi="仿宋" w:eastAsia="方正小标宋简体" w:cs="仿宋"/>
          <w:color w:val="000000" w:themeColor="text1"/>
          <w:sz w:val="44"/>
          <w:szCs w:val="44"/>
          <w:highlight w:val="none"/>
          <w:shd w:val="clear" w:color="auto" w:fill="FFFFFF"/>
          <w14:textFill>
            <w14:solidFill>
              <w14:schemeClr w14:val="tx1"/>
            </w14:solidFill>
          </w14:textFill>
        </w:rPr>
      </w:pPr>
      <w:r>
        <w:rPr>
          <w:rFonts w:hint="eastAsia" w:ascii="方正小标宋简体" w:hAnsi="仿宋" w:eastAsia="方正小标宋简体" w:cs="仿宋"/>
          <w:color w:val="000000" w:themeColor="text1"/>
          <w:sz w:val="44"/>
          <w:szCs w:val="44"/>
          <w:highlight w:val="none"/>
          <w:shd w:val="clear" w:color="auto" w:fill="FFFFFF"/>
          <w:lang w:val="en-US" w:eastAsia="zh-CN"/>
          <w14:textFill>
            <w14:solidFill>
              <w14:schemeClr w14:val="tx1"/>
            </w14:solidFill>
          </w14:textFill>
        </w:rPr>
        <w:t>汝州市烟草制</w:t>
      </w:r>
      <w:r>
        <w:rPr>
          <w:rFonts w:hint="eastAsia" w:ascii="方正小标宋简体" w:hAnsi="仿宋" w:eastAsia="方正小标宋简体" w:cs="仿宋"/>
          <w:color w:val="000000" w:themeColor="text1"/>
          <w:sz w:val="44"/>
          <w:szCs w:val="44"/>
          <w:highlight w:val="none"/>
          <w:shd w:val="clear" w:color="auto" w:fill="FFFFFF"/>
          <w14:textFill>
            <w14:solidFill>
              <w14:schemeClr w14:val="tx1"/>
            </w14:solidFill>
          </w14:textFill>
        </w:rPr>
        <w:t>品零售点经营场所间距测量标准</w:t>
      </w:r>
    </w:p>
    <w:p w14:paraId="549588CB">
      <w:pPr>
        <w:spacing w:line="580" w:lineRule="exact"/>
        <w:ind w:left="640"/>
        <w:rPr>
          <w:rFonts w:ascii="仿宋" w:hAnsi="仿宋" w:eastAsia="仿宋" w:cs="仿宋"/>
          <w:color w:val="000000" w:themeColor="text1"/>
          <w:sz w:val="32"/>
          <w:szCs w:val="32"/>
          <w:highlight w:val="none"/>
          <w14:textFill>
            <w14:solidFill>
              <w14:schemeClr w14:val="tx1"/>
            </w14:solidFill>
          </w14:textFill>
        </w:rPr>
      </w:pPr>
    </w:p>
    <w:p w14:paraId="1A953FDB">
      <w:pPr>
        <w:spacing w:line="580" w:lineRule="exact"/>
        <w:ind w:firstLine="632" w:firstLineChars="200"/>
        <w:rPr>
          <w:rFonts w:hint="eastAsia" w:ascii="仿宋" w:hAnsi="仿宋" w:eastAsia="仿宋" w:cs="仿宋"/>
          <w:color w:val="000000" w:themeColor="text1"/>
          <w:sz w:val="32"/>
          <w:szCs w:val="32"/>
          <w:highlight w:val="none"/>
          <w14:textFill>
            <w14:solidFill>
              <w14:schemeClr w14:val="tx1"/>
            </w14:solidFill>
          </w14:textFill>
        </w:rPr>
      </w:pPr>
      <w:r>
        <w:rPr>
          <w:rFonts w:hint="eastAsia" w:ascii="仿宋" w:hAnsi="仿宋" w:eastAsia="仿宋" w:cs="仿宋"/>
          <w:color w:val="000000" w:themeColor="text1"/>
          <w:sz w:val="32"/>
          <w:szCs w:val="32"/>
          <w:highlight w:val="none"/>
          <w14:textFill>
            <w14:solidFill>
              <w14:schemeClr w14:val="tx1"/>
            </w14:solidFill>
          </w14:textFill>
        </w:rPr>
        <w:t>一、《规划》中“距离、间距”指新申请方与测量参照物之间,按“边对边”原则测量的可通行最短距离。测量参照物指周边最近的持证零售户或中小学校、幼儿园学生通勤出入口。现场核查新申请方与参照物之间的测量以“不违反交通规定、可通行最短距离”为总体原则。具体场所测量示意图如下：</w:t>
      </w:r>
    </w:p>
    <w:p w14:paraId="17800F02">
      <w:pPr>
        <w:ind w:firstLine="552" w:firstLineChars="200"/>
        <w:jc w:val="left"/>
        <w:rPr>
          <w:rFonts w:ascii="仿宋_GB2312" w:hAnsi="楷体_GB2312" w:eastAsia="仿宋_GB2312" w:cs="楷体_GB2312"/>
          <w:color w:val="000000" w:themeColor="text1"/>
          <w:sz w:val="28"/>
          <w:szCs w:val="28"/>
          <w:highlight w:val="none"/>
          <w14:textFill>
            <w14:solidFill>
              <w14:schemeClr w14:val="tx1"/>
            </w14:solidFill>
          </w14:textFill>
        </w:rPr>
      </w:pPr>
      <w:r>
        <w:rPr>
          <w:rFonts w:hint="eastAsia" w:ascii="仿宋_GB2312" w:hAnsi="楷体_GB2312" w:eastAsia="仿宋_GB2312" w:cs="楷体_GB2312"/>
          <w:color w:val="000000" w:themeColor="text1"/>
          <w:sz w:val="28"/>
          <w:szCs w:val="28"/>
          <w:highlight w:val="none"/>
          <w14:textFill>
            <w14:solidFill>
              <w14:schemeClr w14:val="tx1"/>
            </w14:solidFill>
          </w14:textFill>
        </w:rPr>
        <w:t>1.申请方和测量参照物在同一侧马路的，参照图1测量，距离=a。</w:t>
      </w:r>
    </w:p>
    <w:p w14:paraId="078DFD72">
      <w:pPr>
        <w:jc w:val="center"/>
        <w:rPr>
          <w:rFonts w:ascii="仿宋_GB2312" w:hAnsi="仿宋" w:eastAsia="仿宋_GB2312" w:cs="仿宋"/>
          <w:color w:val="000000" w:themeColor="text1"/>
          <w:szCs w:val="32"/>
          <w:highlight w:val="none"/>
          <w14:textFill>
            <w14:solidFill>
              <w14:schemeClr w14:val="tx1"/>
            </w14:solidFill>
          </w14:textFill>
        </w:rPr>
      </w:pPr>
      <w:r>
        <w:rPr>
          <w:rFonts w:hint="eastAsia" w:ascii="仿宋_GB2312" w:hAnsi="仿宋" w:eastAsia="仿宋_GB2312" w:cs="仿宋"/>
          <w:color w:val="000000" w:themeColor="text1"/>
          <w:szCs w:val="32"/>
          <w:highlight w:val="none"/>
          <w14:textFill>
            <w14:solidFill>
              <w14:schemeClr w14:val="tx1"/>
            </w14:solidFill>
          </w14:textFill>
        </w:rPr>
        <w:drawing>
          <wp:inline distT="0" distB="0" distL="114300" distR="114300">
            <wp:extent cx="4377690" cy="2942590"/>
            <wp:effectExtent l="0" t="0" r="3810" b="10160"/>
            <wp:docPr id="8" name="图片 6" descr="16292717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1629271796(1)"/>
                    <pic:cNvPicPr>
                      <a:picLocks noChangeAspect="1"/>
                    </pic:cNvPicPr>
                  </pic:nvPicPr>
                  <pic:blipFill>
                    <a:blip r:embed="rId5"/>
                    <a:stretch>
                      <a:fillRect/>
                    </a:stretch>
                  </pic:blipFill>
                  <pic:spPr>
                    <a:xfrm>
                      <a:off x="0" y="0"/>
                      <a:ext cx="4377690" cy="2942590"/>
                    </a:xfrm>
                    <a:prstGeom prst="rect">
                      <a:avLst/>
                    </a:prstGeom>
                    <a:noFill/>
                    <a:ln>
                      <a:noFill/>
                    </a:ln>
                  </pic:spPr>
                </pic:pic>
              </a:graphicData>
            </a:graphic>
          </wp:inline>
        </w:drawing>
      </w:r>
    </w:p>
    <w:p w14:paraId="50FA7726">
      <w:pPr>
        <w:ind w:firstLine="632" w:firstLineChars="200"/>
        <w:jc w:val="left"/>
        <w:rPr>
          <w:rFonts w:ascii="仿宋_GB2312" w:hAnsi="楷体_GB2312" w:eastAsia="仿宋_GB2312" w:cs="楷体_GB2312"/>
          <w:color w:val="000000" w:themeColor="text1"/>
          <w:sz w:val="32"/>
          <w:szCs w:val="32"/>
          <w:highlight w:val="none"/>
          <w14:textFill>
            <w14:solidFill>
              <w14:schemeClr w14:val="tx1"/>
            </w14:solidFill>
          </w14:textFill>
        </w:rPr>
      </w:pPr>
      <w:r>
        <w:rPr>
          <w:rFonts w:hint="eastAsia" w:ascii="仿宋_GB2312" w:hAnsi="楷体_GB2312" w:eastAsia="仿宋_GB2312" w:cs="楷体_GB2312"/>
          <w:color w:val="000000" w:themeColor="text1"/>
          <w:sz w:val="32"/>
          <w:szCs w:val="32"/>
          <w:highlight w:val="none"/>
          <w14:textFill>
            <w14:solidFill>
              <w14:schemeClr w14:val="tx1"/>
            </w14:solidFill>
          </w14:textFill>
        </w:rPr>
        <w:t>2.申请方和测量参照物在马路两侧，马路中间设有隔离带的，从隔离带最近开口处作为测量通道,参照图2测量，距离=a+b+c。</w:t>
      </w:r>
    </w:p>
    <w:p w14:paraId="6F60E7CE">
      <w:pPr>
        <w:jc w:val="center"/>
        <w:rPr>
          <w:rFonts w:ascii="仿宋_GB2312" w:hAnsi="仿宋" w:eastAsia="仿宋_GB2312" w:cs="仿宋"/>
          <w:color w:val="000000" w:themeColor="text1"/>
          <w:sz w:val="32"/>
          <w:szCs w:val="32"/>
          <w:highlight w:val="none"/>
          <w14:textFill>
            <w14:solidFill>
              <w14:schemeClr w14:val="tx1"/>
            </w14:solidFill>
          </w14:textFill>
        </w:rPr>
      </w:pPr>
      <w:r>
        <w:rPr>
          <w:rFonts w:hint="eastAsia" w:ascii="仿宋_GB2312" w:hAnsi="仿宋" w:eastAsia="仿宋_GB2312" w:cs="仿宋"/>
          <w:color w:val="000000" w:themeColor="text1"/>
          <w:sz w:val="32"/>
          <w:szCs w:val="32"/>
          <w:highlight w:val="none"/>
          <w14:textFill>
            <w14:solidFill>
              <w14:schemeClr w14:val="tx1"/>
            </w14:solidFill>
          </w14:textFill>
        </w:rPr>
        <w:drawing>
          <wp:inline distT="0" distB="0" distL="114300" distR="114300">
            <wp:extent cx="4474210" cy="2773680"/>
            <wp:effectExtent l="0" t="0" r="2540" b="7620"/>
            <wp:docPr id="9" name="图片 7" descr="16292719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1629271936(1)"/>
                    <pic:cNvPicPr>
                      <a:picLocks noChangeAspect="1"/>
                    </pic:cNvPicPr>
                  </pic:nvPicPr>
                  <pic:blipFill>
                    <a:blip r:embed="rId6"/>
                    <a:stretch>
                      <a:fillRect/>
                    </a:stretch>
                  </pic:blipFill>
                  <pic:spPr>
                    <a:xfrm>
                      <a:off x="0" y="0"/>
                      <a:ext cx="4474210" cy="2773680"/>
                    </a:xfrm>
                    <a:prstGeom prst="rect">
                      <a:avLst/>
                    </a:prstGeom>
                    <a:noFill/>
                    <a:ln>
                      <a:noFill/>
                    </a:ln>
                  </pic:spPr>
                </pic:pic>
              </a:graphicData>
            </a:graphic>
          </wp:inline>
        </w:drawing>
      </w:r>
    </w:p>
    <w:p w14:paraId="6EC71C03">
      <w:pPr>
        <w:ind w:firstLine="632" w:firstLineChars="200"/>
        <w:jc w:val="left"/>
        <w:rPr>
          <w:rFonts w:ascii="仿宋_GB2312" w:hAnsi="楷体_GB2312" w:eastAsia="仿宋_GB2312" w:cs="楷体_GB2312"/>
          <w:color w:val="000000" w:themeColor="text1"/>
          <w:sz w:val="32"/>
          <w:szCs w:val="32"/>
          <w:highlight w:val="none"/>
          <w14:textFill>
            <w14:solidFill>
              <w14:schemeClr w14:val="tx1"/>
            </w14:solidFill>
          </w14:textFill>
        </w:rPr>
      </w:pPr>
      <w:r>
        <w:rPr>
          <w:rFonts w:hint="eastAsia" w:ascii="仿宋_GB2312" w:hAnsi="楷体_GB2312" w:eastAsia="仿宋_GB2312" w:cs="楷体_GB2312"/>
          <w:color w:val="000000" w:themeColor="text1"/>
          <w:sz w:val="32"/>
          <w:szCs w:val="32"/>
          <w:highlight w:val="none"/>
          <w14:textFill>
            <w14:solidFill>
              <w14:schemeClr w14:val="tx1"/>
            </w14:solidFill>
          </w14:textFill>
        </w:rPr>
        <w:t>3.申请方和测量参照物在马路两侧，马路中间没有隔离带但是有斑马线的，参照图3测量，距离=a+b+c。</w:t>
      </w:r>
    </w:p>
    <w:p w14:paraId="6C4B62CB">
      <w:pPr>
        <w:jc w:val="center"/>
        <w:rPr>
          <w:rFonts w:ascii="仿宋_GB2312" w:hAnsi="仿宋" w:eastAsia="仿宋_GB2312" w:cs="仿宋"/>
          <w:color w:val="000000" w:themeColor="text1"/>
          <w:sz w:val="32"/>
          <w:szCs w:val="32"/>
          <w:highlight w:val="none"/>
          <w14:textFill>
            <w14:solidFill>
              <w14:schemeClr w14:val="tx1"/>
            </w14:solidFill>
          </w14:textFill>
        </w:rPr>
      </w:pPr>
      <w:r>
        <w:rPr>
          <w:rFonts w:hint="eastAsia" w:ascii="仿宋_GB2312" w:hAnsi="仿宋" w:eastAsia="仿宋_GB2312" w:cs="仿宋"/>
          <w:color w:val="000000" w:themeColor="text1"/>
          <w:sz w:val="32"/>
          <w:szCs w:val="32"/>
          <w:highlight w:val="none"/>
          <w14:textFill>
            <w14:solidFill>
              <w14:schemeClr w14:val="tx1"/>
            </w14:solidFill>
          </w14:textFill>
        </w:rPr>
        <w:drawing>
          <wp:inline distT="0" distB="0" distL="114300" distR="114300">
            <wp:extent cx="4421505" cy="3386455"/>
            <wp:effectExtent l="0" t="0" r="17145" b="4445"/>
            <wp:docPr id="10" name="图片 8" descr="1629272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1629272024(1)"/>
                    <pic:cNvPicPr>
                      <a:picLocks noChangeAspect="1"/>
                    </pic:cNvPicPr>
                  </pic:nvPicPr>
                  <pic:blipFill>
                    <a:blip r:embed="rId7"/>
                    <a:stretch>
                      <a:fillRect/>
                    </a:stretch>
                  </pic:blipFill>
                  <pic:spPr>
                    <a:xfrm>
                      <a:off x="0" y="0"/>
                      <a:ext cx="4421505" cy="3386455"/>
                    </a:xfrm>
                    <a:prstGeom prst="rect">
                      <a:avLst/>
                    </a:prstGeom>
                    <a:noFill/>
                    <a:ln>
                      <a:noFill/>
                    </a:ln>
                  </pic:spPr>
                </pic:pic>
              </a:graphicData>
            </a:graphic>
          </wp:inline>
        </w:drawing>
      </w:r>
    </w:p>
    <w:p w14:paraId="57C91DDD">
      <w:pPr>
        <w:ind w:firstLine="632" w:firstLineChars="200"/>
        <w:jc w:val="left"/>
        <w:rPr>
          <w:rFonts w:ascii="仿宋_GB2312" w:hAnsi="楷体_GB2312" w:eastAsia="仿宋_GB2312" w:cs="楷体_GB2312"/>
          <w:color w:val="000000" w:themeColor="text1"/>
          <w:sz w:val="32"/>
          <w:szCs w:val="32"/>
          <w:highlight w:val="none"/>
          <w14:textFill>
            <w14:solidFill>
              <w14:schemeClr w14:val="tx1"/>
            </w14:solidFill>
          </w14:textFill>
        </w:rPr>
      </w:pPr>
      <w:r>
        <w:rPr>
          <w:rFonts w:hint="eastAsia" w:ascii="仿宋_GB2312" w:hAnsi="楷体_GB2312" w:eastAsia="仿宋_GB2312" w:cs="楷体_GB2312"/>
          <w:color w:val="000000" w:themeColor="text1"/>
          <w:sz w:val="32"/>
          <w:szCs w:val="32"/>
          <w:highlight w:val="none"/>
          <w14:textFill>
            <w14:solidFill>
              <w14:schemeClr w14:val="tx1"/>
            </w14:solidFill>
          </w14:textFill>
        </w:rPr>
        <w:t>4.申请方和测量参照物在马路两侧，马路中间没有斑马线或者隔离带的，参照图4测量，距离=a。</w:t>
      </w:r>
    </w:p>
    <w:p w14:paraId="216F16D3">
      <w:pPr>
        <w:jc w:val="center"/>
        <w:rPr>
          <w:rFonts w:ascii="仿宋_GB2312" w:hAnsi="仿宋" w:eastAsia="仿宋_GB2312" w:cs="仿宋"/>
          <w:color w:val="000000" w:themeColor="text1"/>
          <w:sz w:val="32"/>
          <w:szCs w:val="32"/>
          <w:highlight w:val="none"/>
          <w14:textFill>
            <w14:solidFill>
              <w14:schemeClr w14:val="tx1"/>
            </w14:solidFill>
          </w14:textFill>
        </w:rPr>
      </w:pPr>
      <w:r>
        <w:rPr>
          <w:rFonts w:hint="eastAsia" w:ascii="仿宋_GB2312" w:hAnsi="仿宋" w:eastAsia="仿宋_GB2312" w:cs="仿宋"/>
          <w:color w:val="000000" w:themeColor="text1"/>
          <w:sz w:val="32"/>
          <w:szCs w:val="32"/>
          <w:highlight w:val="none"/>
          <w14:textFill>
            <w14:solidFill>
              <w14:schemeClr w14:val="tx1"/>
            </w14:solidFill>
          </w14:textFill>
        </w:rPr>
        <w:drawing>
          <wp:inline distT="0" distB="0" distL="114300" distR="114300">
            <wp:extent cx="4712335" cy="2511425"/>
            <wp:effectExtent l="0" t="0" r="12065" b="3175"/>
            <wp:docPr id="11" name="图片 9" descr="16292720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1629272084(1)"/>
                    <pic:cNvPicPr>
                      <a:picLocks noChangeAspect="1"/>
                    </pic:cNvPicPr>
                  </pic:nvPicPr>
                  <pic:blipFill>
                    <a:blip r:embed="rId8"/>
                    <a:stretch>
                      <a:fillRect/>
                    </a:stretch>
                  </pic:blipFill>
                  <pic:spPr>
                    <a:xfrm>
                      <a:off x="0" y="0"/>
                      <a:ext cx="4712335" cy="2511425"/>
                    </a:xfrm>
                    <a:prstGeom prst="rect">
                      <a:avLst/>
                    </a:prstGeom>
                    <a:noFill/>
                    <a:ln>
                      <a:noFill/>
                    </a:ln>
                  </pic:spPr>
                </pic:pic>
              </a:graphicData>
            </a:graphic>
          </wp:inline>
        </w:drawing>
      </w:r>
    </w:p>
    <w:p w14:paraId="04F65637">
      <w:pPr>
        <w:ind w:firstLine="632" w:firstLineChars="200"/>
        <w:jc w:val="left"/>
        <w:rPr>
          <w:rFonts w:ascii="仿宋_GB2312" w:hAnsi="楷体_GB2312" w:eastAsia="仿宋_GB2312" w:cs="楷体_GB2312"/>
          <w:color w:val="000000" w:themeColor="text1"/>
          <w:sz w:val="32"/>
          <w:szCs w:val="32"/>
          <w:highlight w:val="none"/>
          <w14:textFill>
            <w14:solidFill>
              <w14:schemeClr w14:val="tx1"/>
            </w14:solidFill>
          </w14:textFill>
        </w:rPr>
      </w:pPr>
      <w:r>
        <w:rPr>
          <w:rFonts w:hint="eastAsia" w:ascii="仿宋_GB2312" w:hAnsi="楷体_GB2312" w:eastAsia="仿宋_GB2312" w:cs="楷体_GB2312"/>
          <w:color w:val="000000" w:themeColor="text1"/>
          <w:sz w:val="32"/>
          <w:szCs w:val="32"/>
          <w:highlight w:val="none"/>
          <w14:textFill>
            <w14:solidFill>
              <w14:schemeClr w14:val="tx1"/>
            </w14:solidFill>
          </w14:textFill>
        </w:rPr>
        <w:t>5.申请方和测量参照物处于马路拐角位置，参照图5测量，距离=a+b。</w:t>
      </w:r>
    </w:p>
    <w:p w14:paraId="527EB46D">
      <w:pPr>
        <w:jc w:val="both"/>
        <w:rPr>
          <w:rFonts w:ascii="仿宋_GB2312" w:hAnsi="宋体" w:eastAsia="仿宋_GB2312"/>
          <w:color w:val="000000" w:themeColor="text1"/>
          <w:sz w:val="32"/>
          <w:szCs w:val="32"/>
          <w:highlight w:val="none"/>
          <w14:textFill>
            <w14:solidFill>
              <w14:schemeClr w14:val="tx1"/>
            </w14:solidFill>
          </w14:textFill>
        </w:rPr>
      </w:pPr>
      <w:r>
        <w:rPr>
          <w:rFonts w:hint="eastAsia" w:ascii="仿宋_GB2312" w:hAnsi="仿宋" w:eastAsia="仿宋_GB2312" w:cs="仿宋"/>
          <w:color w:val="000000" w:themeColor="text1"/>
          <w:sz w:val="32"/>
          <w:szCs w:val="32"/>
          <w:highlight w:val="none"/>
          <w:lang w:val="en-US" w:eastAsia="zh-CN"/>
          <w14:textFill>
            <w14:solidFill>
              <w14:schemeClr w14:val="tx1"/>
            </w14:solidFill>
          </w14:textFill>
        </w:rPr>
        <w:t xml:space="preserve">   </w:t>
      </w:r>
      <w:r>
        <w:rPr>
          <w:rFonts w:hint="eastAsia" w:ascii="仿宋_GB2312" w:hAnsi="仿宋" w:eastAsia="仿宋_GB2312" w:cs="仿宋"/>
          <w:color w:val="000000" w:themeColor="text1"/>
          <w:sz w:val="32"/>
          <w:szCs w:val="32"/>
          <w:highlight w:val="none"/>
          <w14:textFill>
            <w14:solidFill>
              <w14:schemeClr w14:val="tx1"/>
            </w14:solidFill>
          </w14:textFill>
        </w:rPr>
        <w:drawing>
          <wp:inline distT="0" distB="0" distL="114300" distR="114300">
            <wp:extent cx="4863465" cy="2659380"/>
            <wp:effectExtent l="0" t="0" r="13335" b="7620"/>
            <wp:docPr id="7" name="图片 10" descr="1629272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1629272184(1)"/>
                    <pic:cNvPicPr>
                      <a:picLocks noChangeAspect="1"/>
                    </pic:cNvPicPr>
                  </pic:nvPicPr>
                  <pic:blipFill>
                    <a:blip r:embed="rId9"/>
                    <a:stretch>
                      <a:fillRect/>
                    </a:stretch>
                  </pic:blipFill>
                  <pic:spPr>
                    <a:xfrm>
                      <a:off x="0" y="0"/>
                      <a:ext cx="4863465" cy="2659380"/>
                    </a:xfrm>
                    <a:prstGeom prst="rect">
                      <a:avLst/>
                    </a:prstGeom>
                    <a:noFill/>
                    <a:ln>
                      <a:noFill/>
                    </a:ln>
                  </pic:spPr>
                </pic:pic>
              </a:graphicData>
            </a:graphic>
          </wp:inline>
        </w:drawing>
      </w:r>
    </w:p>
    <w:p w14:paraId="53748971">
      <w:pPr>
        <w:widowControl/>
        <w:spacing w:line="480" w:lineRule="exact"/>
        <w:ind w:firstLine="632" w:firstLineChars="200"/>
        <w:rPr>
          <w:rFonts w:hint="eastAsia" w:ascii="仿宋_GB2312" w:hAnsi="Times New Roman" w:eastAsia="仿宋_GB2312"/>
          <w:color w:val="000000" w:themeColor="text1"/>
          <w:kern w:val="0"/>
          <w:sz w:val="32"/>
          <w:szCs w:val="32"/>
          <w:highlight w:val="none"/>
          <w14:textFill>
            <w14:solidFill>
              <w14:schemeClr w14:val="tx1"/>
            </w14:solidFill>
          </w14:textFill>
        </w:rPr>
      </w:pPr>
      <w:r>
        <w:rPr>
          <w:rFonts w:hint="eastAsia" w:ascii="仿宋_GB2312" w:eastAsia="仿宋_GB2312"/>
          <w:color w:val="000000" w:themeColor="text1"/>
          <w:kern w:val="0"/>
          <w:sz w:val="32"/>
          <w:szCs w:val="32"/>
          <w:highlight w:val="none"/>
          <w:lang w:val="en-US" w:eastAsia="zh-CN"/>
          <w14:textFill>
            <w14:solidFill>
              <w14:schemeClr w14:val="tx1"/>
            </w14:solidFill>
          </w14:textFill>
        </w:rPr>
        <w:t>二</w:t>
      </w:r>
      <w:r>
        <w:rPr>
          <w:rFonts w:hint="eastAsia" w:ascii="仿宋_GB2312" w:eastAsia="仿宋_GB2312"/>
          <w:color w:val="000000" w:themeColor="text1"/>
          <w:kern w:val="0"/>
          <w:sz w:val="32"/>
          <w:szCs w:val="32"/>
          <w:highlight w:val="none"/>
          <w14:textFill>
            <w14:solidFill>
              <w14:schemeClr w14:val="tx1"/>
            </w14:solidFill>
          </w14:textFill>
        </w:rPr>
        <w:t>、</w:t>
      </w:r>
      <w:r>
        <w:rPr>
          <w:rFonts w:hint="eastAsia" w:ascii="仿宋_GB2312" w:hAnsi="Times New Roman" w:eastAsia="仿宋_GB2312"/>
          <w:color w:val="000000" w:themeColor="text1"/>
          <w:kern w:val="0"/>
          <w:sz w:val="32"/>
          <w:szCs w:val="32"/>
          <w:highlight w:val="none"/>
          <w14:textFill>
            <w14:solidFill>
              <w14:schemeClr w14:val="tx1"/>
            </w14:solidFill>
          </w14:textFill>
        </w:rPr>
        <w:t>本测量</w:t>
      </w:r>
      <w:r>
        <w:rPr>
          <w:rFonts w:hint="eastAsia" w:ascii="仿宋_GB2312" w:hAnsi="Times New Roman" w:eastAsia="仿宋_GB2312"/>
          <w:color w:val="000000" w:themeColor="text1"/>
          <w:kern w:val="0"/>
          <w:sz w:val="32"/>
          <w:szCs w:val="32"/>
          <w:highlight w:val="none"/>
          <w:lang w:val="en-US" w:eastAsia="zh-CN"/>
          <w14:textFill>
            <w14:solidFill>
              <w14:schemeClr w14:val="tx1"/>
            </w14:solidFill>
          </w14:textFill>
        </w:rPr>
        <w:t>办法</w:t>
      </w:r>
      <w:r>
        <w:rPr>
          <w:rFonts w:hint="eastAsia" w:ascii="仿宋_GB2312" w:hAnsi="Times New Roman" w:eastAsia="仿宋_GB2312"/>
          <w:color w:val="000000" w:themeColor="text1"/>
          <w:kern w:val="0"/>
          <w:sz w:val="32"/>
          <w:szCs w:val="32"/>
          <w:highlight w:val="none"/>
          <w14:textFill>
            <w14:solidFill>
              <w14:schemeClr w14:val="tx1"/>
            </w14:solidFill>
          </w14:textFill>
        </w:rPr>
        <w:t>由</w:t>
      </w:r>
      <w:r>
        <w:rPr>
          <w:rFonts w:hint="eastAsia" w:ascii="仿宋_GB2312" w:hAnsi="Times New Roman" w:eastAsia="仿宋_GB2312"/>
          <w:color w:val="000000" w:themeColor="text1"/>
          <w:kern w:val="0"/>
          <w:sz w:val="32"/>
          <w:szCs w:val="32"/>
          <w:highlight w:val="none"/>
          <w:lang w:eastAsia="zh-CN"/>
          <w14:textFill>
            <w14:solidFill>
              <w14:schemeClr w14:val="tx1"/>
            </w14:solidFill>
          </w14:textFill>
        </w:rPr>
        <w:t>汝州市</w:t>
      </w:r>
      <w:r>
        <w:rPr>
          <w:rFonts w:hint="eastAsia" w:ascii="仿宋_GB2312" w:hAnsi="Times New Roman" w:eastAsia="仿宋_GB2312"/>
          <w:color w:val="000000" w:themeColor="text1"/>
          <w:kern w:val="0"/>
          <w:sz w:val="32"/>
          <w:szCs w:val="32"/>
          <w:highlight w:val="none"/>
          <w14:textFill>
            <w14:solidFill>
              <w14:schemeClr w14:val="tx1"/>
            </w14:solidFill>
          </w14:textFill>
        </w:rPr>
        <w:t>烟草专卖局负责解释。如遇本</w:t>
      </w:r>
      <w:r>
        <w:rPr>
          <w:rFonts w:hint="eastAsia" w:ascii="仿宋_GB2312" w:hAnsi="Times New Roman" w:eastAsia="仿宋_GB2312"/>
          <w:color w:val="000000" w:themeColor="text1"/>
          <w:kern w:val="0"/>
          <w:sz w:val="32"/>
          <w:szCs w:val="32"/>
          <w:highlight w:val="none"/>
          <w:lang w:val="en-US" w:eastAsia="zh-CN"/>
          <w14:textFill>
            <w14:solidFill>
              <w14:schemeClr w14:val="tx1"/>
            </w14:solidFill>
          </w14:textFill>
        </w:rPr>
        <w:t>办法</w:t>
      </w:r>
      <w:r>
        <w:rPr>
          <w:rFonts w:hint="eastAsia" w:ascii="仿宋_GB2312" w:hAnsi="Times New Roman" w:eastAsia="仿宋_GB2312"/>
          <w:color w:val="000000" w:themeColor="text1"/>
          <w:kern w:val="0"/>
          <w:sz w:val="32"/>
          <w:szCs w:val="32"/>
          <w:highlight w:val="none"/>
          <w14:textFill>
            <w14:solidFill>
              <w14:schemeClr w14:val="tx1"/>
            </w14:solidFill>
          </w14:textFill>
        </w:rPr>
        <w:t>未明确测量方法的特殊情形时，其测量方法由</w:t>
      </w:r>
      <w:r>
        <w:rPr>
          <w:rFonts w:hint="eastAsia" w:ascii="仿宋_GB2312" w:hAnsi="Times New Roman" w:eastAsia="仿宋_GB2312"/>
          <w:color w:val="000000" w:themeColor="text1"/>
          <w:kern w:val="0"/>
          <w:sz w:val="32"/>
          <w:szCs w:val="32"/>
          <w:highlight w:val="none"/>
          <w:lang w:eastAsia="zh-CN"/>
          <w14:textFill>
            <w14:solidFill>
              <w14:schemeClr w14:val="tx1"/>
            </w14:solidFill>
          </w14:textFill>
        </w:rPr>
        <w:t>汝州市</w:t>
      </w:r>
      <w:r>
        <w:rPr>
          <w:rFonts w:hint="eastAsia" w:ascii="仿宋_GB2312" w:hAnsi="Times New Roman" w:eastAsia="仿宋_GB2312"/>
          <w:color w:val="000000" w:themeColor="text1"/>
          <w:kern w:val="0"/>
          <w:sz w:val="32"/>
          <w:szCs w:val="32"/>
          <w:highlight w:val="none"/>
          <w14:textFill>
            <w14:solidFill>
              <w14:schemeClr w14:val="tx1"/>
            </w14:solidFill>
          </w14:textFill>
        </w:rPr>
        <w:t>烟草专卖局确定。</w:t>
      </w:r>
    </w:p>
    <w:p w14:paraId="5BFFA5E7">
      <w:pPr>
        <w:spacing w:line="576" w:lineRule="exact"/>
        <w:ind w:firstLine="632" w:firstLineChars="200"/>
        <w:rPr>
          <w:rFonts w:ascii="仿宋" w:hAnsi="仿宋" w:eastAsia="仿宋"/>
          <w:color w:val="000000" w:themeColor="text1"/>
          <w:kern w:val="0"/>
          <w:sz w:val="32"/>
          <w:szCs w:val="32"/>
          <w:highlight w:val="none"/>
          <w14:textFill>
            <w14:solidFill>
              <w14:schemeClr w14:val="tx1"/>
            </w14:solidFill>
          </w14:textFill>
        </w:rPr>
      </w:pPr>
    </w:p>
    <w:p w14:paraId="7F050606">
      <w:pPr>
        <w:widowControl/>
        <w:jc w:val="left"/>
        <w:rPr>
          <w:rFonts w:hint="eastAsia" w:ascii="黑体" w:hAnsi="黑体" w:eastAsia="黑体" w:cs="仿宋"/>
          <w:color w:val="000000" w:themeColor="text1"/>
          <w:sz w:val="32"/>
          <w:szCs w:val="32"/>
          <w:highlight w:val="none"/>
          <w:shd w:val="clear" w:color="auto" w:fill="FFFFFF"/>
          <w14:textFill>
            <w14:solidFill>
              <w14:schemeClr w14:val="tx1"/>
            </w14:solidFill>
          </w14:textFill>
        </w:rPr>
      </w:pPr>
      <w:r>
        <w:rPr>
          <w:rFonts w:ascii="仿宋" w:hAnsi="仿宋" w:eastAsia="仿宋"/>
          <w:color w:val="000000" w:themeColor="text1"/>
          <w:kern w:val="0"/>
          <w:sz w:val="32"/>
          <w:szCs w:val="32"/>
          <w:highlight w:val="none"/>
          <w14:textFill>
            <w14:solidFill>
              <w14:schemeClr w14:val="tx1"/>
            </w14:solidFill>
          </w14:textFill>
        </w:rPr>
        <w:br w:type="page"/>
      </w:r>
      <w:r>
        <w:rPr>
          <w:rFonts w:hint="eastAsia" w:ascii="黑体" w:hAnsi="黑体" w:eastAsia="黑体" w:cs="仿宋"/>
          <w:color w:val="000000" w:themeColor="text1"/>
          <w:sz w:val="32"/>
          <w:szCs w:val="32"/>
          <w:highlight w:val="none"/>
          <w:shd w:val="clear" w:color="auto" w:fill="FFFFFF"/>
          <w14:textFill>
            <w14:solidFill>
              <w14:schemeClr w14:val="tx1"/>
            </w14:solidFill>
          </w14:textFill>
        </w:rPr>
        <w:t>附件2</w:t>
      </w:r>
    </w:p>
    <w:p w14:paraId="2ED89DD3">
      <w:pPr>
        <w:bidi w:val="0"/>
        <w:jc w:val="left"/>
        <w:rPr>
          <w:rFonts w:hint="eastAsia" w:cs="Calibri"/>
          <w:color w:val="000000" w:themeColor="text1"/>
          <w:kern w:val="2"/>
          <w:sz w:val="21"/>
          <w:szCs w:val="21"/>
          <w:highlight w:val="none"/>
          <w:lang w:val="en-US" w:eastAsia="zh-CN" w:bidi="ar-SA"/>
          <w14:textFill>
            <w14:solidFill>
              <w14:schemeClr w14:val="tx1"/>
            </w14:solidFill>
          </w14:textFill>
        </w:rPr>
      </w:pPr>
    </w:p>
    <w:tbl>
      <w:tblPr>
        <w:tblStyle w:val="7"/>
        <w:tblpPr w:leftFromText="180" w:rightFromText="180" w:vertAnchor="text" w:horzAnchor="page" w:tblpX="1280" w:tblpY="-572"/>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3"/>
        <w:gridCol w:w="843"/>
        <w:gridCol w:w="947"/>
        <w:gridCol w:w="3362"/>
        <w:gridCol w:w="3365"/>
      </w:tblGrid>
      <w:tr w14:paraId="60F3C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060" w:type="dxa"/>
            <w:gridSpan w:val="5"/>
            <w:tcBorders>
              <w:top w:val="single" w:color="000000" w:sz="4" w:space="0"/>
              <w:left w:val="single" w:color="000000" w:sz="4" w:space="0"/>
              <w:bottom w:val="single" w:color="000000" w:sz="4" w:space="0"/>
              <w:right w:val="single" w:color="000000" w:sz="4" w:space="0"/>
            </w:tcBorders>
            <w:noWrap w:val="0"/>
            <w:vAlign w:val="center"/>
          </w:tcPr>
          <w:p w14:paraId="63332619">
            <w:pPr>
              <w:keepNext w:val="0"/>
              <w:keepLines w:val="0"/>
              <w:widowControl/>
              <w:suppressLineNumbers w:val="0"/>
              <w:jc w:val="center"/>
              <w:textAlignment w:val="center"/>
              <w:rPr>
                <w:rFonts w:hint="eastAsia" w:ascii="宋体" w:hAnsi="宋体" w:eastAsia="宋体" w:cs="宋体"/>
                <w:b/>
                <w:bCs/>
                <w:i w:val="0"/>
                <w:iCs w:val="0"/>
                <w:color w:val="000000" w:themeColor="text1"/>
                <w:sz w:val="36"/>
                <w:szCs w:val="36"/>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36"/>
                <w:szCs w:val="36"/>
                <w:highlight w:val="none"/>
                <w:u w:val="none"/>
                <w:lang w:val="en-US" w:eastAsia="zh-CN" w:bidi="ar"/>
                <w14:textFill>
                  <w14:solidFill>
                    <w14:schemeClr w14:val="tx1"/>
                  </w14:solidFill>
                </w14:textFill>
              </w:rPr>
              <w:t>汝州市市场单元布局信息目录</w:t>
            </w:r>
          </w:p>
        </w:tc>
      </w:tr>
      <w:tr w14:paraId="528B1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857B25E">
            <w:pPr>
              <w:keepNext w:val="0"/>
              <w:keepLines w:val="0"/>
              <w:widowControl/>
              <w:suppressLineNumbers w:val="0"/>
              <w:jc w:val="center"/>
              <w:textAlignment w:val="center"/>
              <w:rPr>
                <w:rFonts w:ascii="Arial" w:hAnsi="Arial" w:cs="Arial"/>
                <w:b/>
                <w:bCs/>
                <w:i w:val="0"/>
                <w:iCs w:val="0"/>
                <w:color w:val="000000" w:themeColor="text1"/>
                <w:sz w:val="18"/>
                <w:szCs w:val="18"/>
                <w:highlight w:val="none"/>
                <w:u w:val="none"/>
                <w14:textFill>
                  <w14:solidFill>
                    <w14:schemeClr w14:val="tx1"/>
                  </w14:solidFill>
                </w14:textFill>
              </w:rPr>
            </w:pPr>
            <w:r>
              <w:rPr>
                <w:rFonts w:hint="default" w:ascii="Arial" w:hAnsi="Arial" w:eastAsia="宋体" w:cs="Arial"/>
                <w:b/>
                <w:bCs/>
                <w:i w:val="0"/>
                <w:iCs w:val="0"/>
                <w:color w:val="000000" w:themeColor="text1"/>
                <w:kern w:val="0"/>
                <w:sz w:val="18"/>
                <w:szCs w:val="18"/>
                <w:highlight w:val="none"/>
                <w:u w:val="none"/>
                <w:lang w:val="en-US" w:eastAsia="zh-CN" w:bidi="ar"/>
                <w14:textFill>
                  <w14:solidFill>
                    <w14:schemeClr w14:val="tx1"/>
                  </w14:solidFill>
                </w14:textFill>
              </w:rPr>
              <w:t>序号</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441A539">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所属县（区）</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19D28CF">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所属行政乡镇</w:t>
            </w: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（街道办事处）</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2836AF8">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市场单元（网格）</w:t>
            </w: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br w:type="textWrapping"/>
            </w: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名称</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74860B3">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市场单元边界范围</w:t>
            </w:r>
          </w:p>
        </w:tc>
      </w:tr>
      <w:tr w14:paraId="21207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034DE14">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4E646A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8F7A54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AEC16A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临登路以东—向阳路以北—烟风路以西—安庄路口南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0F96A2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临登路以东—向阳路以北—烟风路以西—安庄路口南</w:t>
            </w:r>
          </w:p>
        </w:tc>
      </w:tr>
      <w:tr w14:paraId="5886E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116DE53">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75F667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CB04DA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07CF20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王堂——安洼中学——梦想嘉园</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0730CB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黄寨村以东-安洼以南-东灵线北-骑庄街以西</w:t>
            </w:r>
          </w:p>
        </w:tc>
      </w:tr>
      <w:tr w14:paraId="7ED99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DA0E8B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2996F4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96CFB4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F44282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梨园新区—骑岭乡政府东—板长庄</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385004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安庄以南-骑庄街以东-向阳西路以北-二淅线以西</w:t>
            </w:r>
          </w:p>
        </w:tc>
      </w:tr>
      <w:tr w14:paraId="3A3B5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68CC5338">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BBBD34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75FBF6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9459EC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城垣新区——安居苑</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D4EBA4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向阳中路以南-风穴路以东-朝阳中路以北城垣路以西</w:t>
            </w:r>
          </w:p>
        </w:tc>
      </w:tr>
      <w:tr w14:paraId="536CA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52F4E9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B80589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E574BF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246D35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七中御香山以南-铁路以东-广成西路以北-双拥路以东</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015784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七中御香山以南-铁路以东-广成西路以北-双拥路以东</w:t>
            </w:r>
          </w:p>
        </w:tc>
      </w:tr>
      <w:tr w14:paraId="28F36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C6E51C1">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95F6F2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575935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DA1CE8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葛庄—司东—司西</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885291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葛庄村、司东村、司西村</w:t>
            </w:r>
          </w:p>
        </w:tc>
      </w:tr>
      <w:tr w14:paraId="30330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37D53AD">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95F8E7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079918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573AABB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教堂—南关花园—万基名家</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92A9A6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中大街以南-将台南街以东-建设中路以北-城垣路以西</w:t>
            </w:r>
          </w:p>
        </w:tc>
      </w:tr>
      <w:tr w14:paraId="14A00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F4085C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A5F4F3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2547F0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9F098C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老四院—医药公司—钟楼市场</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872FE5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丹阳路以南-将台街以东-中大街以北-城垣路以西</w:t>
            </w:r>
          </w:p>
        </w:tc>
      </w:tr>
      <w:tr w14:paraId="58253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79B2FF6">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4955B6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127227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18753C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执法局—望嵩小学—妇幼保健院——人寿保险</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13954E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丹阳路以南-北马道以东-中大街以北-将台街以西</w:t>
            </w:r>
          </w:p>
        </w:tc>
      </w:tr>
      <w:tr w14:paraId="457EA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AC4B605">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206296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C19792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28BD46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洗耳派出所—汽车站—西西小学—水坑沿</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C71889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丹阳路以南-双拥路以东-西关街以北北-马道以西</w:t>
            </w:r>
          </w:p>
        </w:tc>
      </w:tr>
      <w:tr w14:paraId="36863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F573DDC">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697E45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81AB6E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883C14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六团—军民街—西东居委会</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8C325A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广成西路以南-双富街以东-丹阳路以北-洗耳河以西</w:t>
            </w:r>
          </w:p>
        </w:tc>
      </w:tr>
      <w:tr w14:paraId="1D839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A6A15E6">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878590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0D883B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5205AE6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人民医院—塔寺小学—风穴派出所</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C67A17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广成路以南-广育路以东-丹阳路以北-城垣路以东</w:t>
            </w:r>
          </w:p>
        </w:tc>
      </w:tr>
      <w:tr w14:paraId="122CF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25974C0">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544EBB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80115F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7F29C0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东悦城—飞亚飞—张鲁庄</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808FD0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广成东路（体育中心）以南-宏翔大道以西-丹阳路以北-古梁大道以西</w:t>
            </w:r>
          </w:p>
        </w:tc>
      </w:tr>
      <w:tr w14:paraId="5B9D4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67AABC0">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9A3FDA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735A1D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F05BD4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金桂园—万汇城—圣庄园东湖</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5C5B50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向阳路以南-城垣路以东-朝阳路以北-龙山大道（207）以西</w:t>
            </w:r>
          </w:p>
        </w:tc>
      </w:tr>
      <w:tr w14:paraId="38BC0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65FCF60">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1D80C3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014A91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7724BE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永安街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C8B5D7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向阳路以南-洗耳河以东-朝阳路以北-风穴路以西</w:t>
            </w:r>
          </w:p>
        </w:tc>
      </w:tr>
      <w:tr w14:paraId="260AD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5B76E6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9E1A51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7F1CF5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BB66C6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普罗旺世—人民医院</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CE9113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向阳路以南-双拥路以东-朝阳路以北-洗耳河以西</w:t>
            </w:r>
          </w:p>
        </w:tc>
      </w:tr>
      <w:tr w14:paraId="01B79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F566D5D">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9E6754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1B4D9E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8E4969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市宾馆—三高—广成学校</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45ED97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中大街以南-汝州二中与清华苑以东-西街幼儿园与广成学校以东</w:t>
            </w:r>
          </w:p>
        </w:tc>
      </w:tr>
      <w:tr w14:paraId="556A0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E499D3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7FBBE3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3DD69F6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FD9F1E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建兴街——康盈街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02BD15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向阳路以南风穴路以东城垣路以西广成路以北</w:t>
            </w:r>
          </w:p>
        </w:tc>
      </w:tr>
      <w:tr w14:paraId="1E42D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4"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C9BC21C">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6F6EEC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433C73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92C563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物流港—万基九尊府—五中—汝州东驾校</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D8E39E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鸿祥大道以西-启德誉府与万基九尊府-龙山大道以西-汝河以北</w:t>
            </w:r>
          </w:p>
        </w:tc>
      </w:tr>
      <w:tr w14:paraId="10235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0E78C18">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20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40A433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EB8409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65B60F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糖尿病医院—南环民生美庐园—新时代精英学校—滨河小学</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92962A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糖尿病医院与民生美庐园以南-城垣路延伸到汝河线以东-鸿祥大道以西-汝河以北</w:t>
            </w:r>
          </w:p>
        </w:tc>
      </w:tr>
      <w:tr w14:paraId="34D95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AA7815C">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21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9A1144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F3F919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DE7C47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东花坛以东—东建材—乐达金马—公务员小区南区</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249171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丹阳路以南-宏翔大道以东-东建材与万基九尊府以北-龙山大道以西</w:t>
            </w:r>
          </w:p>
        </w:tc>
      </w:tr>
      <w:tr w14:paraId="760E7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A456195">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22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C237F0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145ACB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52CF7E0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莱青苑学校—东关桥头—二里店—老东关小学</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0F3717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丹阳路以南-城垣路以东-糖尿病医院以北-宏翔大道以西</w:t>
            </w:r>
          </w:p>
        </w:tc>
      </w:tr>
      <w:tr w14:paraId="660BD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5239954">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23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731B59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028C53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6D039B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绿洲苑—天瑞集团—蓝钻名居</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CB0EBA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广成路（市委）以南-城垣路以东-丹阳路以北-宏翔大道以西</w:t>
            </w:r>
          </w:p>
        </w:tc>
      </w:tr>
      <w:tr w14:paraId="6DA04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3C43D5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24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C31F9D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4D9B33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EB6172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建设路以南—铁路线以东—汝河以北—城垣路以西</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A3D5A7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建设路以南—铁路线以东—汝河以北—城垣路以西</w:t>
            </w:r>
          </w:p>
        </w:tc>
      </w:tr>
      <w:tr w14:paraId="152C9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72AF240">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25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8576E4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AE2B12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0074A1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客运总站——绿洲广城——春天服饰</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A179F2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广成路以南-洗耳河以西-丹阳路以北-广育路以西</w:t>
            </w:r>
          </w:p>
        </w:tc>
      </w:tr>
      <w:tr w14:paraId="5F2A5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2"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7A96BB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26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385FCB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2AC7AB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8B2782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西关街南—双拥路东—建设路北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DC14F3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双拥路至仓巷街、丹阳路至建设路</w:t>
            </w:r>
          </w:p>
        </w:tc>
      </w:tr>
      <w:tr w14:paraId="230F1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5B1D76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27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D04464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2AA0D1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B1A934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煤山公园—商务局</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718516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广成西路以南-双拥路以西-丹阳西路以北-双富街以东</w:t>
            </w:r>
          </w:p>
        </w:tc>
      </w:tr>
      <w:tr w14:paraId="50F1B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793C2B8">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28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DA787B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092C33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C3338B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上河</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2D3172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广城西路以南-巨龙公司以东-汝河以北-铁路以西</w:t>
            </w:r>
          </w:p>
        </w:tc>
      </w:tr>
      <w:tr w14:paraId="4647C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B89A08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29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A22E3A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B7F4EA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0B5BB6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火车站—立交桥—兴华面粉厂</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7D6E57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双拥路以西-铁路以东-广成西路以南-火车站（含）以北</w:t>
            </w:r>
          </w:p>
        </w:tc>
      </w:tr>
      <w:tr w14:paraId="5AAA8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9"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3032511">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30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8A9299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A85622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A58BC7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福地花园—体育馆——交投大厦</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D80649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朝阳路以南-城垣路以东-广成路以北至古梁大道以东-丹阳北路以北-207以西</w:t>
            </w:r>
          </w:p>
        </w:tc>
      </w:tr>
      <w:tr w14:paraId="2DE63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DBDBF30">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31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01A83D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7E77FA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0C66E6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水果市场—名吃一条街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426133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汝河至风穴路、向阳路至广成路</w:t>
            </w:r>
          </w:p>
        </w:tc>
      </w:tr>
      <w:tr w14:paraId="3807D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6B5C6B63">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32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346F45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97E398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BC380B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朝阳西路以南—双拥路以东—广成西路以北—洗耳河以西</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9C2A66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朝阳西路以南—双拥路以东—广成西路以北—洗耳河以西</w:t>
            </w:r>
          </w:p>
        </w:tc>
      </w:tr>
      <w:tr w14:paraId="52546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4F8CD1F">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33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42A0E7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4CB9E4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5C10E20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许寨——七里</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B276DD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七里村、十里村、许寨村</w:t>
            </w:r>
          </w:p>
        </w:tc>
      </w:tr>
      <w:tr w14:paraId="7347B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16B7EB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34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A77363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858461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城区</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0981CA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北环民生美庐园———瓷都文化园——凯德国际——公务员小区北区</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A95A36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下程村与郭营村以南-风穴路以东-向阳路以北-207以东</w:t>
            </w:r>
          </w:p>
        </w:tc>
      </w:tr>
      <w:tr w14:paraId="228C5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82BF1EE">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35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F8C3A0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3B06F43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大峪</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548DF74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纸坊大峪镇02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74EF57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于窑、榆圪当庙、风庙、焦岭、刘窑、后坡、状元沟</w:t>
            </w:r>
          </w:p>
        </w:tc>
      </w:tr>
      <w:tr w14:paraId="30638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D9831B2">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36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415ECA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369688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大峪</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2D868C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纸坊大峪镇01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9A8337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寨湾、范庄、赵楼、刘河、青山后、高岭、班庄、龙王</w:t>
            </w:r>
          </w:p>
        </w:tc>
      </w:tr>
      <w:tr w14:paraId="6AA44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3"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D35A7BB">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37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909D82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F0792B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寄料</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A31833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寄料镇北01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546AB0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寄料村、高庙村</w:t>
            </w:r>
          </w:p>
        </w:tc>
      </w:tr>
      <w:tr w14:paraId="5715F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6B24E086">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38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D23729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35BDBE7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寄料</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58D55AA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寄料镇南01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62372F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寄料村南、马长庄、磨石、牛沟、蛮子洼</w:t>
            </w:r>
          </w:p>
        </w:tc>
      </w:tr>
      <w:tr w14:paraId="72083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E4A0B7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39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A0A4C2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0D45EA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寄料</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955D09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寄料北03</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645E0E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泰山庙村、北周庄村、徐庄村、竹园村、雷湾村</w:t>
            </w:r>
          </w:p>
        </w:tc>
      </w:tr>
      <w:tr w14:paraId="6B2C8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6ED3B962">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40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14C8A0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5C988F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寄料</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D81A1F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寄料北02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C42B96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张坡村、观上村、温楼村、、阎小寨村、妻贤庄、南程庄</w:t>
            </w:r>
          </w:p>
        </w:tc>
      </w:tr>
      <w:tr w14:paraId="12105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D75B495">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41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EDDD9D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9438C0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寄料</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73352A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寄料镇南02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A3E8F2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纸坊村、西安沟村、车厂村、石梯村、黄柏村、董王沟村、吕庄村、南赵沟村、李店村、坡根村、炉沟村、桑树坪村、蔡沟村、拉台村、郭沟村、平王宋村、车沟村</w:t>
            </w:r>
          </w:p>
        </w:tc>
      </w:tr>
      <w:tr w14:paraId="6DC01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6E998C4">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42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1B22C9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D095AB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焦村</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E70F5A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纸坊焦村镇02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C1EDF7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李楼、楸树李、湾里、王楼</w:t>
            </w:r>
          </w:p>
        </w:tc>
      </w:tr>
      <w:tr w14:paraId="229EF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3922B2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43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CBD30D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8261F1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焦村</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4B252F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纸坊焦村镇01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4BE2E6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焦村、靳村、杜村、水沟、梁窑</w:t>
            </w:r>
          </w:p>
        </w:tc>
      </w:tr>
      <w:tr w14:paraId="0E64F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2896F0F">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44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13A9F3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829762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临汝镇</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AC7126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临汝镇东2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B0E13E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临东、东营、武庄</w:t>
            </w:r>
          </w:p>
        </w:tc>
      </w:tr>
      <w:tr w14:paraId="40A11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FB6E10F">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45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71EAA3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B1901C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临汝镇</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3C29E6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临汝镇南3</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27FCF1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临西</w:t>
            </w:r>
          </w:p>
        </w:tc>
      </w:tr>
      <w:tr w14:paraId="7F56F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6BC8D50C">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46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4DA67D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196F54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临汝镇</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7C609F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临汝镇南</w:t>
            </w:r>
            <w:r>
              <w:rPr>
                <w:rStyle w:val="12"/>
                <w:rFonts w:eastAsia="宋体"/>
                <w:color w:val="000000" w:themeColor="text1"/>
                <w:highlight w:val="none"/>
                <w:lang w:val="en-US" w:eastAsia="zh-CN" w:bidi="ar"/>
                <w14:textFill>
                  <w14:solidFill>
                    <w14:schemeClr w14:val="tx1"/>
                  </w14:solidFill>
                </w14:textFill>
              </w:rPr>
              <w:t>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A09C73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临西</w:t>
            </w:r>
          </w:p>
        </w:tc>
      </w:tr>
      <w:tr w14:paraId="75AFE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3B9E0B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47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F49568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C1F497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临汝镇</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3C8E50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临汝镇北2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81DBD3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西马庄、北王庄、北李庄、东马庄、北孙庄、狮子张、庙张</w:t>
            </w:r>
          </w:p>
        </w:tc>
      </w:tr>
      <w:tr w14:paraId="0E15B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3D3DF16">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48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009581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39B49A7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临汝镇</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840EE1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临汝镇南1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7EE5CA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西营，菜园</w:t>
            </w:r>
          </w:p>
        </w:tc>
      </w:tr>
      <w:tr w14:paraId="13F97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86C1D85">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49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95E311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A38C5C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临汝镇</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64C4D9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临汝镇东1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B8ECC2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东营，临汝镇街</w:t>
            </w:r>
          </w:p>
        </w:tc>
      </w:tr>
      <w:tr w14:paraId="30616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0C3B3EF">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50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FF9964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ADDCFE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临汝镇</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5BB1C4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临汝镇北1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91E2E2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坡池，狮子张，关庙，东马庄、北纸坊、小山沟</w:t>
            </w:r>
          </w:p>
        </w:tc>
      </w:tr>
      <w:tr w14:paraId="0E0B4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39EDF05">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51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EB0FE5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357D38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陵头</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65AA9F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陵头镇A</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79C71D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陵头西街、后户、前户</w:t>
            </w:r>
          </w:p>
        </w:tc>
      </w:tr>
      <w:tr w14:paraId="293EA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BE2F242">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52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C192C1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BDDC5B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陵头</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5C8F7D8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陵头东</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BCB510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马窑、段子铺、朱沟、黄岭、申坡</w:t>
            </w:r>
          </w:p>
        </w:tc>
      </w:tr>
      <w:tr w14:paraId="048E5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2DD5482">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53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125524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79ED7E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陵头</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023DD5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陵头B</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0A87D8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陵头东街、杨楼沟、王庄、孟庄村、东杨寨</w:t>
            </w:r>
          </w:p>
        </w:tc>
      </w:tr>
      <w:tr w14:paraId="43D9A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BB5F34C">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54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06793B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7EA757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陵头</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A8F69D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陵头镇北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9F0C74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樊爻村、梅庄、陈爻村、大庙村、沙古堆村、宁庄、李窑</w:t>
            </w:r>
          </w:p>
        </w:tc>
      </w:tr>
      <w:tr w14:paraId="2B5FA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CB8DAA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55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F78609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EC16BB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蟒川</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9E7CEA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蟒川北A</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EB2DCF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杨沟、孙岭、严和店</w:t>
            </w:r>
          </w:p>
        </w:tc>
      </w:tr>
      <w:tr w14:paraId="0BFC4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338C1DE">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56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3C1C8D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7F41FF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蟒川</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53F6C73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蟒川东</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E78845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任庄村、黑龙庙村、石灰窑</w:t>
            </w:r>
          </w:p>
        </w:tc>
      </w:tr>
      <w:tr w14:paraId="0154C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7011342">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57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FB778B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DC8FD4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蟒川</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E76FEB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蟒川中B</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0C883A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核桃园、土窑</w:t>
            </w:r>
          </w:p>
        </w:tc>
      </w:tr>
      <w:tr w14:paraId="765E5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6C93363">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58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7D1584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B4835D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蟒川</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53B465F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蟒川中A</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8757AC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蟒川街</w:t>
            </w:r>
          </w:p>
        </w:tc>
      </w:tr>
      <w:tr w14:paraId="7BAB2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7539A65">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59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933CE7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BCE49C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蟒川</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3A897A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蟒川南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2F3CE9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齐沟、蟒窝、唐沟、半扎</w:t>
            </w:r>
          </w:p>
        </w:tc>
      </w:tr>
      <w:tr w14:paraId="7959E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6F4086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60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256D45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FAE49E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蟒川</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5E375F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蟒川北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064CFD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花海-娘庙-滕店</w:t>
            </w:r>
          </w:p>
        </w:tc>
      </w:tr>
      <w:tr w14:paraId="46FD9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65989824">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61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F65DFA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ACF6EC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蟒川</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48189C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蟒川西</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BE2632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上任村、下任村、王岭、东何庄</w:t>
            </w:r>
          </w:p>
        </w:tc>
      </w:tr>
      <w:tr w14:paraId="20B01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C8E1AC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62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40E9CB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BDD1C5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米庙</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02825B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纸坊米庙02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7B9597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安庄、米庙村、榆庙</w:t>
            </w:r>
          </w:p>
        </w:tc>
      </w:tr>
      <w:tr w14:paraId="62954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953750F">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63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900753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D0D65E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米庙</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0887C1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纸坊米庙01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5CECDF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米庙镇-一五张-常楼-郭楼</w:t>
            </w:r>
          </w:p>
        </w:tc>
      </w:tr>
      <w:tr w14:paraId="6132E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F25F8F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64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887D31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BBB46C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米庙</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7C3746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纸坊米庙郭营01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3D6A23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郭营、马窑、尚庄、黄窑</w:t>
            </w:r>
          </w:p>
        </w:tc>
      </w:tr>
      <w:tr w14:paraId="325F6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92753A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65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89315C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24FA49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米庙</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CC4080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纸坊米庙郭营02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AB615F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玉皇、铁炉马、于庄、吴洼、党屯、白庄</w:t>
            </w:r>
          </w:p>
        </w:tc>
      </w:tr>
      <w:tr w14:paraId="1D10B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912820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66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BDAF2E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7129C2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庙下</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E88B7B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庙下北02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A03677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郭庄村、神沟村、宋王村、北刘村、古城村、西赵庄村</w:t>
            </w:r>
          </w:p>
        </w:tc>
      </w:tr>
      <w:tr w14:paraId="57120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CD5BDC6">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67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516AA3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60A522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庙下</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B2F06D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庙下北01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D9C4D7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长张村、北胡庄村、下鲁村、北于庄村、乐寨村、姚庄村、西薛庄村</w:t>
            </w:r>
          </w:p>
        </w:tc>
      </w:tr>
      <w:tr w14:paraId="51514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E1F370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68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051DE9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FB2446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庙下</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5F531F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庙下东01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0050B7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罗郭岭村、湾子村、文寨村</w:t>
            </w:r>
          </w:p>
        </w:tc>
      </w:tr>
      <w:tr w14:paraId="53F8A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F04A48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69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36E441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58F43C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庙下</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EB6BBC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庙下东02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84A9D6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春店村、黄寨村、寺上村、</w:t>
            </w:r>
          </w:p>
        </w:tc>
      </w:tr>
      <w:tr w14:paraId="50C0A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526834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70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7BED8D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B1AF3D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庙下</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6F1255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庙下村</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921C61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庙下村</w:t>
            </w:r>
          </w:p>
        </w:tc>
      </w:tr>
      <w:tr w14:paraId="5FF7F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4F76686">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71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02B891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B31940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庙下</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2EA8BF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庙下南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4EE0BC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庙下村、南杨庄村、北尹庄村</w:t>
            </w:r>
          </w:p>
        </w:tc>
      </w:tr>
      <w:tr w14:paraId="0D41A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DF98184">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72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1F5AB4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1A6714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庙下</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0611A0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庙下西</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491F46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西荒村、唐店村、小寨村、南刘村</w:t>
            </w:r>
          </w:p>
        </w:tc>
      </w:tr>
      <w:tr w14:paraId="3C75A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E44EF7D">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73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B00226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D65902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骑岭</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AD4DD9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骑岭中B</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6AC071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河坡、王庄</w:t>
            </w:r>
          </w:p>
        </w:tc>
      </w:tr>
      <w:tr w14:paraId="768B6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7084530">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74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0CF343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3F00B10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骑岭</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308A52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骑岭中A</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CDDB42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安洼、程凹、安庄、河坡</w:t>
            </w:r>
          </w:p>
        </w:tc>
      </w:tr>
      <w:tr w14:paraId="71E69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6A7409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75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821BCA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337ECC7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骑岭</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E3C563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骑岭乡东B</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74DD32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范集村、小陈村</w:t>
            </w:r>
          </w:p>
        </w:tc>
      </w:tr>
      <w:tr w14:paraId="73874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7250F5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76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BB14CD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BE4186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骑岭</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07BA89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骑岭乡</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B87D91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安洼村、河坡村、山王村</w:t>
            </w:r>
          </w:p>
        </w:tc>
      </w:tr>
      <w:tr w14:paraId="138B6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3586FD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77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A885F5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0DD93A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骑岭</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B206E7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骑岭乡东</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27F4D5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范集村、城北村、下程村</w:t>
            </w:r>
          </w:p>
        </w:tc>
      </w:tr>
      <w:tr w14:paraId="6DBA0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184C2F0">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78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7C4EDF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322CAC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骑岭</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B30413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骑岭乡北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294DE4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养田村、段子铺村、朱沟村</w:t>
            </w:r>
          </w:p>
        </w:tc>
      </w:tr>
      <w:tr w14:paraId="606DB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58DE53B">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79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38AE72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34AEC3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汝南</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B2C6DD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汝南街道中A</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093824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焦村、栗疙瘩、陈湾、朱岭</w:t>
            </w:r>
          </w:p>
        </w:tc>
      </w:tr>
      <w:tr w14:paraId="04375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6120D24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80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83F24E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AAE12A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汝南</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6AACD5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汝南街道西B</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312380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南马庄、怯庄</w:t>
            </w:r>
          </w:p>
        </w:tc>
      </w:tr>
      <w:tr w14:paraId="3E16E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6FE22B3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81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3DE517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34C934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汝南</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E2B903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汝南街道西A</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571DC1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粪堆赵、工业区</w:t>
            </w:r>
          </w:p>
        </w:tc>
      </w:tr>
      <w:tr w14:paraId="74BC8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F68BDC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82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28B384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A537FF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汝南</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BCC667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汝南街道东</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A944A2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虎头村、后铺村</w:t>
            </w:r>
          </w:p>
        </w:tc>
      </w:tr>
      <w:tr w14:paraId="2EC9D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D0CEA96">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83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C20F93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DCCBF6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汝南</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CB050C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汝南街道中</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A0ABC0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袁庄、上陈、孙庄、徐庄</w:t>
            </w:r>
          </w:p>
        </w:tc>
      </w:tr>
      <w:tr w14:paraId="4443B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E57021D">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84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98E051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AAE9D5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汝南</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A91B8A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汝南街道南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551448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化庙、魏洼</w:t>
            </w:r>
          </w:p>
        </w:tc>
      </w:tr>
      <w:tr w14:paraId="731B8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A68E98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85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A11ED5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10A887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汝南</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B79A5B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汝南街道西</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88B6AF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王庄、栗庄</w:t>
            </w:r>
          </w:p>
        </w:tc>
      </w:tr>
      <w:tr w14:paraId="78445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602273C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86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5DB8D7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CED059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王寨</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CFB82E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王寨东B</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E8CA81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十字路、龙山、董沟、寺湾</w:t>
            </w:r>
          </w:p>
        </w:tc>
      </w:tr>
      <w:tr w14:paraId="0064B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2D103C4">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87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36BDCE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772080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王寨</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3D2D52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王寨东</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3F204A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大拉湾、小拉湾、胡庄</w:t>
            </w:r>
          </w:p>
        </w:tc>
      </w:tr>
      <w:tr w14:paraId="61F5E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246A53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88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1094FA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7EFD4A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王寨</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2552A6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王寨中</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1A8453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訾庄-刘凹</w:t>
            </w:r>
          </w:p>
        </w:tc>
      </w:tr>
      <w:tr w14:paraId="135AF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2D2AAE5">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89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BC88FE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808B43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王寨</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9B0491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王寨北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D05DF5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杨庄、朱洼、尹庄、柳树王</w:t>
            </w:r>
          </w:p>
        </w:tc>
      </w:tr>
      <w:tr w14:paraId="4B8DA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78FAD5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90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BEA97B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065279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王寨</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CCE76E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王寨乡西</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ECE5C5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尹冲-郑铁-樊古城、杨古城、王古城、冶墙</w:t>
            </w:r>
          </w:p>
        </w:tc>
      </w:tr>
      <w:tr w14:paraId="73CEC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EDB0630">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91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070BBB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B7FE94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温泉</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E5D7B3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温泉官庄</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A04EE0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官中、官东、官西、丁庄</w:t>
            </w:r>
          </w:p>
        </w:tc>
      </w:tr>
      <w:tr w14:paraId="7EC10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BF948CD">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92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5D44B5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E37B32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温泉</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D1B8A9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温泉南3</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C7D1DE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连庄、陈寨、朱寨、杨寨、赵庄、骆庄</w:t>
            </w:r>
          </w:p>
        </w:tc>
      </w:tr>
      <w:tr w14:paraId="65884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2745903">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93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935F34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60C5A3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温泉</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EB9D11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温泉南2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E68FA6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邓予、榆树园、东程庄、东唐沟、高水泉、连圪瘩</w:t>
            </w:r>
          </w:p>
        </w:tc>
      </w:tr>
      <w:tr w14:paraId="6F967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13325400">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94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A55EE1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2EE561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温泉</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95B98C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温泉南1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38B431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冯店，菜园</w:t>
            </w:r>
          </w:p>
        </w:tc>
      </w:tr>
      <w:tr w14:paraId="1CB87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0A11364">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95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448C7C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C1ADBC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温泉</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D7E120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温泉南4</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00B91E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付岭、东均田、温泉村、张寨</w:t>
            </w:r>
          </w:p>
        </w:tc>
      </w:tr>
      <w:tr w14:paraId="6093B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B3EA6C1">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96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3B58F2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62720C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温泉</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1F325D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温泉镇北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5DF6A0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丁村，官街</w:t>
            </w:r>
          </w:p>
        </w:tc>
      </w:tr>
      <w:tr w14:paraId="62631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3955303">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97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B37C30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43787A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夏店</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6C4689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夏店南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0A13AA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八里王村、路庄村、西湖村、鲁张村</w:t>
            </w:r>
          </w:p>
        </w:tc>
      </w:tr>
      <w:tr w14:paraId="32A20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662C5F33">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98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22DF35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F72880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夏店</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99907B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夏店中</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C9F310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上鲁村、毛寨村、磨庄村、夏南村、新村村、陈庄村</w:t>
            </w:r>
          </w:p>
        </w:tc>
      </w:tr>
      <w:tr w14:paraId="67180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5F96B6B">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99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7ED9DC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A2959C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夏店</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1A5434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夏店北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0BDCB0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孔寨村、夏北村、夏西村、夏东村、孙庄村、黄沟村、关帝庙村、甄窑村、河口村、呼窑村</w:t>
            </w:r>
          </w:p>
        </w:tc>
      </w:tr>
      <w:tr w14:paraId="2A2F3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24EDBD2">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100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FDD13A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7DF9D3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小屯</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524727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小屯镇东南B</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FCE15A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毛寨、西村、东村、崔辛庄</w:t>
            </w:r>
          </w:p>
        </w:tc>
      </w:tr>
      <w:tr w14:paraId="49706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B9F3308">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101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C68350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2ADAC1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小屯</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1591CFD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小屯镇东南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D82FBA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樊湾、杨集</w:t>
            </w:r>
          </w:p>
        </w:tc>
      </w:tr>
      <w:tr w14:paraId="46233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2F00335">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102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57D0B6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1F7269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小屯</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13E374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小屯镇西南A</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685555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时屯、鲁辛庄、小于庄</w:t>
            </w:r>
          </w:p>
        </w:tc>
      </w:tr>
      <w:tr w14:paraId="24CD0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C2774E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103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85BDA7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38381AF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小屯</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AD9769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小屯西北B</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56CECC2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石河沟、吴岭</w:t>
            </w:r>
          </w:p>
        </w:tc>
      </w:tr>
      <w:tr w14:paraId="15CE1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50C8E74">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104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330430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922F06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小屯</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E7A305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小屯西北A</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A58F1E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李湾、李二堂、南李庄、山王</w:t>
            </w:r>
          </w:p>
        </w:tc>
      </w:tr>
      <w:tr w14:paraId="34DD4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462440A">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105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916F04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23C2CB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小屯</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F4E838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小屯东北B</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E448C1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范湾、朝川、三山寨</w:t>
            </w:r>
          </w:p>
        </w:tc>
      </w:tr>
      <w:tr w14:paraId="79A26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5885112">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106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CC5C33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8796E1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小屯</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113A65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小屯镇东北A</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324036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青年渠、麻庄、王庄</w:t>
            </w:r>
          </w:p>
        </w:tc>
      </w:tr>
      <w:tr w14:paraId="5EA09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2A5F183">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107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E8AA9F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73E560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小屯</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49BF296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小屯镇西南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F5CD8E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李珍庄、牛庄、南张庄、魏庄</w:t>
            </w:r>
          </w:p>
        </w:tc>
      </w:tr>
      <w:tr w14:paraId="31331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5C1CC95">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108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C09F8B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8C0285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小屯</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5108B3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小屯镇西北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D7C167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朝川村、石河沟、孙店、芦店</w:t>
            </w:r>
          </w:p>
        </w:tc>
      </w:tr>
      <w:tr w14:paraId="6F16E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8291884">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109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37DA08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9A8D51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小屯</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254F4C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小屯镇东南A</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B2C645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路寨、杨其营、周庄</w:t>
            </w:r>
          </w:p>
        </w:tc>
      </w:tr>
      <w:tr w14:paraId="2282B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FFAB88D">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110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4F93C1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3C219BC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小屯</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72E93F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小屯镇东北</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00C30A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史庄、丁堂、穆堂</w:t>
            </w:r>
          </w:p>
        </w:tc>
      </w:tr>
      <w:tr w14:paraId="16C89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5FCF67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111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26A612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DB92A4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杨楼</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EBEA24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杨楼北03</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357825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杨楼村、佛堂村、下水村、马庄村、小程村</w:t>
            </w:r>
          </w:p>
        </w:tc>
      </w:tr>
      <w:tr w14:paraId="3D08D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4E659A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112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2318C4F">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4A279E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杨楼</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464205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杨楼北02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2DB626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大程村、石台村、西史庄村、西王楼村、李庄村</w:t>
            </w:r>
          </w:p>
        </w:tc>
      </w:tr>
      <w:tr w14:paraId="2165C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643AE6B8">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113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FE59DC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C1BC3F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杨楼</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368B05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杨楼北01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88177EA">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杨楼村、程庄村、黎良村、刘圪垱村、夏庄村、耿庄</w:t>
            </w:r>
          </w:p>
        </w:tc>
      </w:tr>
      <w:tr w14:paraId="251A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2E1F0891">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114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4AA293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5FB4CC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杨楼</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111DDF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杨楼南02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F18A1B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南范庄村、渠庄村、双庙村、赵沟村、陈沟村、高沟村、李圪垱村</w:t>
            </w:r>
          </w:p>
        </w:tc>
      </w:tr>
      <w:tr w14:paraId="4A582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88A0CC9">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115</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24B41BA0">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FDDCFD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杨楼</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39BEB5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杨楼南01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C12926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杨楼村、叶庄村、口子赵村</w:t>
            </w:r>
          </w:p>
        </w:tc>
      </w:tr>
      <w:tr w14:paraId="7FEA5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42E5889B">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116</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12EFF0D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2EC918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纸坊</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A5BFFC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纸坊镇西02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0B626FE">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南寨、李家村、龙泉、泉李、车渠、新庄、料辊张</w:t>
            </w:r>
          </w:p>
        </w:tc>
      </w:tr>
      <w:tr w14:paraId="4E716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7C40C24">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117</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584D21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75E0FF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纸坊</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35904A7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纸坊程楼石庄01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60A66C9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石庄、石桥、苏楼、张楼</w:t>
            </w:r>
          </w:p>
        </w:tc>
      </w:tr>
      <w:tr w14:paraId="5F176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094F47B">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118</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4A87E5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D37F6F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纸坊</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94019A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纸坊街02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3436553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康街、东赵庄</w:t>
            </w:r>
          </w:p>
        </w:tc>
      </w:tr>
      <w:tr w14:paraId="6BDAB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E9FA3EB">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119</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4B62168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C45459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纸坊</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779E20E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纸坊长阜街02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191FC428">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长东村、长西村、后寨、赵南</w:t>
            </w:r>
          </w:p>
        </w:tc>
      </w:tr>
      <w:tr w14:paraId="1F5DC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3843841">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120</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342BF541">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39DD3F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纸坊</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D10E773">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纸坊程楼石庄02</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8C00A62">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陈古洞、中山寨、程楼、银海岸、拐李</w:t>
            </w:r>
          </w:p>
        </w:tc>
      </w:tr>
      <w:tr w14:paraId="5B6A0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767B3C8F">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121</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0137FB5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D973C6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纸坊</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5AB885B5">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纸坊镇西01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01776279">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榆树陈、河盘、姚楼、留王村</w:t>
            </w:r>
          </w:p>
        </w:tc>
      </w:tr>
      <w:tr w14:paraId="6AD82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3AA5AA37">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122</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53585D4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B5E63A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纸坊</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047BA3CB">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纸坊镇赵落村</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76C68B97">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赵东至赵西</w:t>
            </w:r>
          </w:p>
        </w:tc>
      </w:tr>
      <w:tr w14:paraId="2D974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04E8CB52">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123</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698143BC">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66A0D4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纸坊</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608B8BA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纸坊街01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2BF3ED9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纸西、纸东、纸北、韩楼、纸南</w:t>
            </w:r>
          </w:p>
        </w:tc>
      </w:tr>
      <w:tr w14:paraId="28CFD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43" w:type="dxa"/>
            <w:tcBorders>
              <w:top w:val="single" w:color="000000" w:sz="4" w:space="0"/>
              <w:left w:val="single" w:color="000000" w:sz="4" w:space="0"/>
              <w:bottom w:val="single" w:color="000000" w:sz="4" w:space="0"/>
              <w:right w:val="single" w:color="000000" w:sz="4" w:space="0"/>
            </w:tcBorders>
            <w:noWrap w:val="0"/>
            <w:vAlign w:val="center"/>
          </w:tcPr>
          <w:p w14:paraId="52D4EA48">
            <w:pPr>
              <w:keepNext w:val="0"/>
              <w:keepLines w:val="0"/>
              <w:widowControl/>
              <w:suppressLineNumbers w:val="0"/>
              <w:jc w:val="center"/>
              <w:textAlignment w:val="center"/>
              <w:rPr>
                <w:rFonts w:hint="default" w:ascii="Arial" w:hAnsi="Arial" w:cs="Arial"/>
                <w:i w:val="0"/>
                <w:iCs w:val="0"/>
                <w:color w:val="000000" w:themeColor="text1"/>
                <w:sz w:val="18"/>
                <w:szCs w:val="18"/>
                <w:highlight w:val="none"/>
                <w:u w:val="none"/>
                <w14:textFill>
                  <w14:solidFill>
                    <w14:schemeClr w14:val="tx1"/>
                  </w14:solidFill>
                </w14:textFill>
              </w:rPr>
            </w:pPr>
            <w:r>
              <w:rPr>
                <w:rFonts w:hint="default" w:ascii="Arial" w:hAnsi="Arial" w:eastAsia="宋体" w:cs="Arial"/>
                <w:i w:val="0"/>
                <w:iCs w:val="0"/>
                <w:color w:val="000000" w:themeColor="text1"/>
                <w:kern w:val="0"/>
                <w:sz w:val="18"/>
                <w:szCs w:val="18"/>
                <w:highlight w:val="none"/>
                <w:u w:val="none"/>
                <w:lang w:val="en-US" w:eastAsia="zh-CN" w:bidi="ar"/>
                <w14:textFill>
                  <w14:solidFill>
                    <w14:schemeClr w14:val="tx1"/>
                  </w14:solidFill>
                </w14:textFill>
              </w:rPr>
              <w:t>124</w:t>
            </w:r>
          </w:p>
        </w:tc>
        <w:tc>
          <w:tcPr>
            <w:tcW w:w="843" w:type="dxa"/>
            <w:tcBorders>
              <w:top w:val="single" w:color="000000" w:sz="4" w:space="0"/>
              <w:left w:val="single" w:color="000000" w:sz="4" w:space="0"/>
              <w:bottom w:val="single" w:color="000000" w:sz="4" w:space="0"/>
              <w:right w:val="single" w:color="000000" w:sz="4" w:space="0"/>
            </w:tcBorders>
            <w:noWrap w:val="0"/>
            <w:vAlign w:val="center"/>
          </w:tcPr>
          <w:p w14:paraId="7CFF0926">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汝州</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2D0B3F1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highlight w:val="none"/>
                <w:u w:val="none"/>
                <w14:textFill>
                  <w14:solidFill>
                    <w14:schemeClr w14:val="tx1"/>
                  </w14:solidFill>
                </w14:textFill>
              </w:rPr>
            </w:pPr>
            <w:r>
              <w:rPr>
                <w:rFonts w:hint="eastAsia" w:ascii="宋体" w:hAnsi="宋体" w:eastAsia="宋体" w:cs="宋体"/>
                <w:i w:val="0"/>
                <w:iCs w:val="0"/>
                <w:color w:val="000000" w:themeColor="text1"/>
                <w:kern w:val="0"/>
                <w:sz w:val="20"/>
                <w:szCs w:val="20"/>
                <w:highlight w:val="none"/>
                <w:u w:val="none"/>
                <w:lang w:val="en-US" w:eastAsia="zh-CN" w:bidi="ar"/>
                <w14:textFill>
                  <w14:solidFill>
                    <w14:schemeClr w14:val="tx1"/>
                  </w14:solidFill>
                </w14:textFill>
              </w:rPr>
              <w:t>纸坊</w:t>
            </w:r>
          </w:p>
        </w:tc>
        <w:tc>
          <w:tcPr>
            <w:tcW w:w="3362" w:type="dxa"/>
            <w:tcBorders>
              <w:top w:val="single" w:color="000000" w:sz="4" w:space="0"/>
              <w:left w:val="single" w:color="000000" w:sz="4" w:space="0"/>
              <w:bottom w:val="single" w:color="000000" w:sz="4" w:space="0"/>
              <w:right w:val="single" w:color="000000" w:sz="4" w:space="0"/>
            </w:tcBorders>
            <w:noWrap w:val="0"/>
            <w:vAlign w:val="center"/>
          </w:tcPr>
          <w:p w14:paraId="229614B4">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纸坊镇长阜街01</w:t>
            </w:r>
          </w:p>
        </w:tc>
        <w:tc>
          <w:tcPr>
            <w:tcW w:w="3365" w:type="dxa"/>
            <w:tcBorders>
              <w:top w:val="single" w:color="000000" w:sz="4" w:space="0"/>
              <w:left w:val="single" w:color="000000" w:sz="4" w:space="0"/>
              <w:bottom w:val="single" w:color="000000" w:sz="4" w:space="0"/>
              <w:right w:val="single" w:color="000000" w:sz="4" w:space="0"/>
            </w:tcBorders>
            <w:noWrap w:val="0"/>
            <w:vAlign w:val="center"/>
          </w:tcPr>
          <w:p w14:paraId="449C0FED">
            <w:pPr>
              <w:keepNext w:val="0"/>
              <w:keepLines w:val="0"/>
              <w:widowControl/>
              <w:suppressLineNumbers w:val="0"/>
              <w:jc w:val="center"/>
              <w:textAlignment w:val="center"/>
              <w:rPr>
                <w:rFonts w:hint="default" w:ascii="Arial" w:hAnsi="Arial" w:cs="Arial"/>
                <w:i w:val="0"/>
                <w:iCs w:val="0"/>
                <w:color w:val="000000" w:themeColor="text1"/>
                <w:sz w:val="20"/>
                <w:szCs w:val="20"/>
                <w:highlight w:val="none"/>
                <w:u w:val="none"/>
                <w14:textFill>
                  <w14:solidFill>
                    <w14:schemeClr w14:val="tx1"/>
                  </w14:solidFill>
                </w14:textFill>
              </w:rPr>
            </w:pPr>
            <w:r>
              <w:rPr>
                <w:rFonts w:hint="default" w:ascii="Arial" w:hAnsi="Arial" w:eastAsia="宋体" w:cs="Arial"/>
                <w:i w:val="0"/>
                <w:iCs w:val="0"/>
                <w:color w:val="000000" w:themeColor="text1"/>
                <w:kern w:val="0"/>
                <w:sz w:val="20"/>
                <w:szCs w:val="20"/>
                <w:highlight w:val="none"/>
                <w:u w:val="none"/>
                <w:lang w:val="en-US" w:eastAsia="zh-CN" w:bidi="ar"/>
                <w14:textFill>
                  <w14:solidFill>
                    <w14:schemeClr w14:val="tx1"/>
                  </w14:solidFill>
                </w14:textFill>
              </w:rPr>
              <w:t>马道、中王村、东焦庄、牛王、陶村、丁村、武巡店</w:t>
            </w:r>
          </w:p>
        </w:tc>
      </w:tr>
    </w:tbl>
    <w:p w14:paraId="58C8226C">
      <w:pPr>
        <w:tabs>
          <w:tab w:val="left" w:pos="205"/>
        </w:tabs>
        <w:rPr>
          <w:rFonts w:hint="eastAsia" w:ascii="仿宋" w:hAnsi="仿宋" w:eastAsia="仿宋" w:cs="Times New Roman"/>
          <w:color w:val="000000" w:themeColor="text1"/>
          <w:sz w:val="32"/>
          <w:szCs w:val="32"/>
          <w:highlight w:val="none"/>
          <w:lang w:eastAsia="zh-CN"/>
          <w14:textFill>
            <w14:solidFill>
              <w14:schemeClr w14:val="tx1"/>
            </w14:solidFill>
          </w14:textFill>
        </w:rPr>
      </w:pPr>
      <w:r>
        <w:rPr>
          <w:rFonts w:hint="eastAsia" w:ascii="仿宋" w:hAnsi="仿宋" w:eastAsia="仿宋" w:cs="Times New Roman"/>
          <w:color w:val="000000" w:themeColor="text1"/>
          <w:sz w:val="32"/>
          <w:szCs w:val="32"/>
          <w:highlight w:val="none"/>
          <w:lang w:eastAsia="zh-CN"/>
          <w14:textFill>
            <w14:solidFill>
              <w14:schemeClr w14:val="tx1"/>
            </w14:solidFill>
          </w14:textFill>
        </w:rPr>
        <w:tab/>
      </w:r>
    </w:p>
    <w:p w14:paraId="4E40FE05">
      <w:pPr>
        <w:ind w:firstLine="975"/>
        <w:rPr>
          <w:rFonts w:hint="eastAsia" w:ascii="仿宋" w:hAnsi="仿宋" w:eastAsia="仿宋" w:cs="Times New Roman"/>
          <w:color w:val="000000" w:themeColor="text1"/>
          <w:sz w:val="32"/>
          <w:szCs w:val="32"/>
          <w:highlight w:val="none"/>
          <w14:textFill>
            <w14:solidFill>
              <w14:schemeClr w14:val="tx1"/>
            </w14:solidFill>
          </w14:textFill>
        </w:rPr>
      </w:pPr>
    </w:p>
    <w:p w14:paraId="50890ACE">
      <w:pPr>
        <w:ind w:firstLine="975"/>
        <w:rPr>
          <w:rFonts w:hint="eastAsia" w:ascii="仿宋" w:hAnsi="仿宋" w:eastAsia="仿宋" w:cs="Times New Roman"/>
          <w:color w:val="000000" w:themeColor="text1"/>
          <w:sz w:val="32"/>
          <w:szCs w:val="32"/>
          <w:highlight w:val="none"/>
          <w14:textFill>
            <w14:solidFill>
              <w14:schemeClr w14:val="tx1"/>
            </w14:solidFill>
          </w14:textFill>
        </w:rPr>
      </w:pPr>
    </w:p>
    <w:p w14:paraId="0BDC28B4">
      <w:pPr>
        <w:ind w:firstLine="975"/>
        <w:rPr>
          <w:rFonts w:hint="eastAsia" w:ascii="仿宋" w:hAnsi="仿宋" w:eastAsia="仿宋" w:cs="Times New Roman"/>
          <w:color w:val="000000" w:themeColor="text1"/>
          <w:sz w:val="32"/>
          <w:szCs w:val="32"/>
          <w:highlight w:val="none"/>
          <w14:textFill>
            <w14:solidFill>
              <w14:schemeClr w14:val="tx1"/>
            </w14:solidFill>
          </w14:textFill>
        </w:rPr>
      </w:pPr>
    </w:p>
    <w:p w14:paraId="696C5AB1">
      <w:pPr>
        <w:ind w:firstLine="975"/>
        <w:rPr>
          <w:rFonts w:hint="eastAsia" w:ascii="仿宋" w:hAnsi="仿宋" w:eastAsia="仿宋" w:cs="Times New Roman"/>
          <w:color w:val="000000" w:themeColor="text1"/>
          <w:sz w:val="32"/>
          <w:szCs w:val="32"/>
          <w:highlight w:val="none"/>
          <w14:textFill>
            <w14:solidFill>
              <w14:schemeClr w14:val="tx1"/>
            </w14:solidFill>
          </w14:textFill>
        </w:rPr>
      </w:pPr>
    </w:p>
    <w:p w14:paraId="54AA557D">
      <w:pPr>
        <w:ind w:firstLine="975"/>
        <w:rPr>
          <w:rFonts w:hint="eastAsia" w:ascii="仿宋" w:hAnsi="仿宋" w:eastAsia="仿宋" w:cs="Times New Roman"/>
          <w:color w:val="000000" w:themeColor="text1"/>
          <w:sz w:val="32"/>
          <w:szCs w:val="32"/>
          <w:highlight w:val="none"/>
          <w14:textFill>
            <w14:solidFill>
              <w14:schemeClr w14:val="tx1"/>
            </w14:solidFill>
          </w14:textFill>
        </w:rPr>
      </w:pPr>
    </w:p>
    <w:bookmarkEnd w:id="0"/>
    <w:p w14:paraId="30E97CAB">
      <w:pPr>
        <w:ind w:firstLine="975"/>
        <w:rPr>
          <w:rFonts w:hint="eastAsia" w:ascii="仿宋" w:hAnsi="仿宋" w:eastAsia="仿宋" w:cs="Times New Roman"/>
          <w:color w:val="000000" w:themeColor="text1"/>
          <w:sz w:val="32"/>
          <w:szCs w:val="32"/>
          <w:highlight w:val="none"/>
          <w:lang w:eastAsia="zh-CN"/>
          <w14:textFill>
            <w14:solidFill>
              <w14:schemeClr w14:val="tx1"/>
            </w14:solidFill>
          </w14:textFill>
        </w:rPr>
      </w:pPr>
    </w:p>
    <w:sectPr>
      <w:footerReference r:id="rId3" w:type="default"/>
      <w:pgSz w:w="11906" w:h="16838"/>
      <w:pgMar w:top="2098" w:right="1474" w:bottom="1985" w:left="1588" w:header="851" w:footer="992" w:gutter="0"/>
      <w:pgNumType w:start="1"/>
      <w:cols w:space="0" w:num="1"/>
      <w:rtlGutter w:val="1"/>
      <w:docGrid w:type="linesAndChars" w:linePitch="579" w:charSpace="-8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CD726">
    <w:pPr>
      <w:framePr w:wrap="around" w:vAnchor="page" w:hAnchor="page" w:x="5596" w:y="15301"/>
      <w:tabs>
        <w:tab w:val="center" w:pos="4153"/>
        <w:tab w:val="right" w:pos="8306"/>
      </w:tabs>
      <w:snapToGrid w:val="0"/>
      <w:jc w:val="left"/>
      <w:rPr>
        <w:rFonts w:ascii="宋体" w:hAnsi="宋体" w:eastAsia="仿宋_GB2312" w:cs="Times New Roman"/>
        <w:sz w:val="28"/>
        <w:szCs w:val="28"/>
      </w:rPr>
    </w:pPr>
    <w:r>
      <w:rPr>
        <w:rFonts w:ascii="Times New Roman" w:hAnsi="Times New Roman" w:eastAsia="仿宋_GB2312" w:cs="Times New Roman"/>
        <w:sz w:val="28"/>
        <w:szCs w:val="28"/>
      </w:rPr>
      <w:t xml:space="preserve">–– </w:t>
    </w:r>
    <w:r>
      <w:rPr>
        <w:rFonts w:ascii="Times New Roman" w:hAnsi="Times New Roman" w:eastAsia="仿宋_GB2312" w:cs="Times New Roman"/>
        <w:sz w:val="28"/>
        <w:szCs w:val="28"/>
      </w:rPr>
      <w:fldChar w:fldCharType="begin"/>
    </w:r>
    <w:r>
      <w:rPr>
        <w:rFonts w:ascii="Times New Roman" w:hAnsi="Times New Roman" w:eastAsia="仿宋_GB2312" w:cs="Times New Roman"/>
        <w:sz w:val="28"/>
        <w:szCs w:val="28"/>
      </w:rPr>
      <w:instrText xml:space="preserve">PAGE  </w:instrText>
    </w:r>
    <w:r>
      <w:rPr>
        <w:rFonts w:ascii="Times New Roman" w:hAnsi="Times New Roman" w:eastAsia="仿宋_GB2312" w:cs="Times New Roman"/>
        <w:sz w:val="28"/>
        <w:szCs w:val="28"/>
      </w:rPr>
      <w:fldChar w:fldCharType="separate"/>
    </w:r>
    <w:r>
      <w:rPr>
        <w:rFonts w:ascii="Times New Roman" w:hAnsi="Times New Roman" w:eastAsia="仿宋_GB2312" w:cs="Times New Roman"/>
        <w:sz w:val="28"/>
        <w:szCs w:val="28"/>
      </w:rPr>
      <w:t>1</w:t>
    </w:r>
    <w:r>
      <w:rPr>
        <w:rFonts w:ascii="Times New Roman" w:hAnsi="Times New Roman" w:eastAsia="仿宋_GB2312" w:cs="Times New Roman"/>
        <w:sz w:val="28"/>
        <w:szCs w:val="28"/>
      </w:rPr>
      <w:fldChar w:fldCharType="end"/>
    </w:r>
    <w:r>
      <w:rPr>
        <w:rFonts w:ascii="Times New Roman" w:hAnsi="Times New Roman" w:eastAsia="仿宋_GB2312" w:cs="Times New Roman"/>
        <w:sz w:val="28"/>
        <w:szCs w:val="28"/>
      </w:rPr>
      <w:t xml:space="preserve"> ––</w:t>
    </w:r>
  </w:p>
  <w:p w14:paraId="67640EAF">
    <w:pPr>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revisionView w:markup="0"/>
  <w:documentProtection w:enforcement="0"/>
  <w:defaultTabStop w:val="420"/>
  <w:doNotHyphenateCaps/>
  <w:drawingGridHorizontalSpacing w:val="103"/>
  <w:drawingGridVerticalSpacing w:val="579"/>
  <w:displayHorizontalDrawingGridEvery w:val="0"/>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2F2"/>
    <w:rsid w:val="00006DE7"/>
    <w:rsid w:val="00016EE0"/>
    <w:rsid w:val="0002719A"/>
    <w:rsid w:val="00027712"/>
    <w:rsid w:val="00033AB2"/>
    <w:rsid w:val="000649AA"/>
    <w:rsid w:val="0008187E"/>
    <w:rsid w:val="000D5979"/>
    <w:rsid w:val="000E3AC7"/>
    <w:rsid w:val="000F6BDE"/>
    <w:rsid w:val="00147931"/>
    <w:rsid w:val="00147B15"/>
    <w:rsid w:val="001636AB"/>
    <w:rsid w:val="00170035"/>
    <w:rsid w:val="00171DB5"/>
    <w:rsid w:val="00172083"/>
    <w:rsid w:val="00190148"/>
    <w:rsid w:val="001B74BF"/>
    <w:rsid w:val="001F0BD2"/>
    <w:rsid w:val="002247D8"/>
    <w:rsid w:val="00234ED2"/>
    <w:rsid w:val="002366E1"/>
    <w:rsid w:val="00244F6F"/>
    <w:rsid w:val="00245D61"/>
    <w:rsid w:val="00250B6E"/>
    <w:rsid w:val="002B30E2"/>
    <w:rsid w:val="002C4BED"/>
    <w:rsid w:val="002D7F5B"/>
    <w:rsid w:val="002E2EDE"/>
    <w:rsid w:val="002E5B10"/>
    <w:rsid w:val="003175A4"/>
    <w:rsid w:val="003229A2"/>
    <w:rsid w:val="00343E3F"/>
    <w:rsid w:val="00343F5D"/>
    <w:rsid w:val="00347F48"/>
    <w:rsid w:val="003542B4"/>
    <w:rsid w:val="00373677"/>
    <w:rsid w:val="00381215"/>
    <w:rsid w:val="00416C15"/>
    <w:rsid w:val="00436FDD"/>
    <w:rsid w:val="00437B20"/>
    <w:rsid w:val="00454984"/>
    <w:rsid w:val="00464DC7"/>
    <w:rsid w:val="00502438"/>
    <w:rsid w:val="00504207"/>
    <w:rsid w:val="00525F22"/>
    <w:rsid w:val="00531A83"/>
    <w:rsid w:val="00543D2B"/>
    <w:rsid w:val="005935E5"/>
    <w:rsid w:val="005C1CE2"/>
    <w:rsid w:val="00646674"/>
    <w:rsid w:val="006738BC"/>
    <w:rsid w:val="00674D73"/>
    <w:rsid w:val="006775DC"/>
    <w:rsid w:val="0069036E"/>
    <w:rsid w:val="006E1B59"/>
    <w:rsid w:val="006F701F"/>
    <w:rsid w:val="00734DDA"/>
    <w:rsid w:val="00745EF0"/>
    <w:rsid w:val="00755BF8"/>
    <w:rsid w:val="00787D52"/>
    <w:rsid w:val="00795931"/>
    <w:rsid w:val="007B12F2"/>
    <w:rsid w:val="007B2421"/>
    <w:rsid w:val="007C1C32"/>
    <w:rsid w:val="007C707C"/>
    <w:rsid w:val="007D576E"/>
    <w:rsid w:val="008028DF"/>
    <w:rsid w:val="00827FD4"/>
    <w:rsid w:val="008943EF"/>
    <w:rsid w:val="008E78BA"/>
    <w:rsid w:val="008F2928"/>
    <w:rsid w:val="00920AD8"/>
    <w:rsid w:val="00921A32"/>
    <w:rsid w:val="0093532B"/>
    <w:rsid w:val="00954259"/>
    <w:rsid w:val="009649EF"/>
    <w:rsid w:val="00975C32"/>
    <w:rsid w:val="009C2C34"/>
    <w:rsid w:val="009C480F"/>
    <w:rsid w:val="009D0C09"/>
    <w:rsid w:val="009D4F3C"/>
    <w:rsid w:val="009F21B2"/>
    <w:rsid w:val="00A16890"/>
    <w:rsid w:val="00A51013"/>
    <w:rsid w:val="00A6072C"/>
    <w:rsid w:val="00A61752"/>
    <w:rsid w:val="00A77B03"/>
    <w:rsid w:val="00AB65CC"/>
    <w:rsid w:val="00B82224"/>
    <w:rsid w:val="00B90667"/>
    <w:rsid w:val="00B937EF"/>
    <w:rsid w:val="00BD259A"/>
    <w:rsid w:val="00C1419D"/>
    <w:rsid w:val="00C2113F"/>
    <w:rsid w:val="00C27299"/>
    <w:rsid w:val="00C301F7"/>
    <w:rsid w:val="00C4767B"/>
    <w:rsid w:val="00C566DA"/>
    <w:rsid w:val="00C70EF7"/>
    <w:rsid w:val="00C7104D"/>
    <w:rsid w:val="00C74048"/>
    <w:rsid w:val="00C7725A"/>
    <w:rsid w:val="00CA4C3E"/>
    <w:rsid w:val="00CC2C16"/>
    <w:rsid w:val="00CC3506"/>
    <w:rsid w:val="00CD6304"/>
    <w:rsid w:val="00CF2D76"/>
    <w:rsid w:val="00D058D6"/>
    <w:rsid w:val="00D40962"/>
    <w:rsid w:val="00D54723"/>
    <w:rsid w:val="00D613EF"/>
    <w:rsid w:val="00D81C84"/>
    <w:rsid w:val="00D909FD"/>
    <w:rsid w:val="00D91E45"/>
    <w:rsid w:val="00D96E3A"/>
    <w:rsid w:val="00DC475E"/>
    <w:rsid w:val="00DF3644"/>
    <w:rsid w:val="00DF592E"/>
    <w:rsid w:val="00E04FA8"/>
    <w:rsid w:val="00E33998"/>
    <w:rsid w:val="00E7526E"/>
    <w:rsid w:val="00E91737"/>
    <w:rsid w:val="00E9602B"/>
    <w:rsid w:val="00EB4971"/>
    <w:rsid w:val="00EB54AE"/>
    <w:rsid w:val="00EC560E"/>
    <w:rsid w:val="00EC6795"/>
    <w:rsid w:val="00EE1AA5"/>
    <w:rsid w:val="00EE6254"/>
    <w:rsid w:val="00EF77B8"/>
    <w:rsid w:val="00F06D92"/>
    <w:rsid w:val="00F221D9"/>
    <w:rsid w:val="00F41901"/>
    <w:rsid w:val="00F97973"/>
    <w:rsid w:val="03365ACF"/>
    <w:rsid w:val="0431049A"/>
    <w:rsid w:val="08AF16A7"/>
    <w:rsid w:val="0C7A4D7B"/>
    <w:rsid w:val="0E5D3EF9"/>
    <w:rsid w:val="13DC33C2"/>
    <w:rsid w:val="15D3160F"/>
    <w:rsid w:val="16377EF0"/>
    <w:rsid w:val="167E137B"/>
    <w:rsid w:val="18DA75A8"/>
    <w:rsid w:val="1D1A6C8A"/>
    <w:rsid w:val="226D2455"/>
    <w:rsid w:val="2AC145DC"/>
    <w:rsid w:val="2C290F75"/>
    <w:rsid w:val="2EF53E55"/>
    <w:rsid w:val="2F960551"/>
    <w:rsid w:val="38BC7581"/>
    <w:rsid w:val="40AC65E2"/>
    <w:rsid w:val="44245E46"/>
    <w:rsid w:val="4B713CC9"/>
    <w:rsid w:val="4FCE5BE8"/>
    <w:rsid w:val="518428E1"/>
    <w:rsid w:val="548556D9"/>
    <w:rsid w:val="55E20DBC"/>
    <w:rsid w:val="560D40F3"/>
    <w:rsid w:val="58353806"/>
    <w:rsid w:val="5E1850F5"/>
    <w:rsid w:val="68145AF6"/>
    <w:rsid w:val="6D600A4F"/>
    <w:rsid w:val="7184543A"/>
    <w:rsid w:val="75AC26DE"/>
    <w:rsid w:val="784A08E0"/>
    <w:rsid w:val="7899787D"/>
    <w:rsid w:val="7B751A3F"/>
    <w:rsid w:val="7FCA403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0" w:name="toc 1" w:locked="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uiPriority="99"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uiPriority="99" w:name="Balloon Text"/>
    <w:lsdException w:unhideWhenUsed="0" w:uiPriority="0" w:semiHidden="0" w:name="Table Grid" w:locked="1"/>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annotation text"/>
    <w:basedOn w:val="1"/>
    <w:unhideWhenUsed/>
    <w:qFormat/>
    <w:uiPriority w:val="99"/>
    <w:pPr>
      <w:jc w:val="left"/>
    </w:p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rFonts w:cs="Times New Roman"/>
      <w:kern w:val="0"/>
      <w:sz w:val="24"/>
      <w:szCs w:val="24"/>
    </w:rPr>
  </w:style>
  <w:style w:type="character" w:styleId="9">
    <w:name w:val="page number"/>
    <w:basedOn w:val="8"/>
    <w:qFormat/>
    <w:uiPriority w:val="99"/>
  </w:style>
  <w:style w:type="character" w:customStyle="1" w:styleId="10">
    <w:name w:val="页脚 字符"/>
    <w:link w:val="4"/>
    <w:qFormat/>
    <w:locked/>
    <w:uiPriority w:val="99"/>
    <w:rPr>
      <w:sz w:val="18"/>
      <w:szCs w:val="18"/>
    </w:rPr>
  </w:style>
  <w:style w:type="character" w:customStyle="1" w:styleId="11">
    <w:name w:val="页眉 字符"/>
    <w:link w:val="5"/>
    <w:qFormat/>
    <w:locked/>
    <w:uiPriority w:val="99"/>
    <w:rPr>
      <w:rFonts w:ascii="Calibri" w:hAnsi="Calibri" w:cs="Calibri"/>
      <w:kern w:val="2"/>
      <w:sz w:val="18"/>
      <w:szCs w:val="18"/>
    </w:rPr>
  </w:style>
  <w:style w:type="character" w:customStyle="1" w:styleId="12">
    <w:name w:val="font01"/>
    <w:basedOn w:val="8"/>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25</Pages>
  <Words>289</Words>
  <Characters>298</Characters>
  <Lines>1</Lines>
  <Paragraphs>1</Paragraphs>
  <TotalTime>8</TotalTime>
  <ScaleCrop>false</ScaleCrop>
  <LinksUpToDate>false</LinksUpToDate>
  <CharactersWithSpaces>360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2020-11-18T09:11:00Z</dcterms:created>
  <dc:creator>王振</dc:creator>
  <cp:lastModifiedBy>琳</cp:lastModifiedBy>
  <cp:lastPrinted>2026-10-19T06:51:00Z</cp:lastPrinted>
  <dcterms:modified xsi:type="dcterms:W3CDTF">2026-10-20T09:25:51Z</dcterms:modified>
  <dc:title>紧急程度位置</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eyJoZGlkIjoiMzhmODFkZTY5ZTIzYTUzMTEyNzg4MGEwZDg3MDBlMmIiLCJ1c2VySWQiOiIyMDQ1MjY0MzcifQ==</vt:lpwstr>
  </property>
  <property fmtid="{D5CDD505-2E9C-101B-9397-08002B2CF9AE}" pid="4" name="ICV">
    <vt:lpwstr>79768B76E0A44486920B7172F556B920_13</vt:lpwstr>
  </property>
</Properties>
</file>